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EC76" w14:textId="77777777" w:rsidR="00BA34F7" w:rsidRDefault="00BA34F7" w:rsidP="005E33F1">
      <w:pPr>
        <w:pStyle w:val="Titre"/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Annexe 1</w:t>
      </w:r>
    </w:p>
    <w:p w14:paraId="25123486" w14:textId="64EB5653" w:rsidR="00BA34F7" w:rsidRDefault="005E33F1" w:rsidP="005E33F1">
      <w:pPr>
        <w:pStyle w:val="Titre"/>
        <w:pBdr>
          <w:bottom w:val="single" w:sz="4" w:space="1" w:color="auto"/>
        </w:pBdr>
        <w:jc w:val="center"/>
        <w:rPr>
          <w:b/>
        </w:rPr>
      </w:pPr>
      <w:r w:rsidRPr="005E33F1">
        <w:rPr>
          <w:b/>
        </w:rPr>
        <w:t>Modèle de CSC</w:t>
      </w:r>
      <w:r w:rsidR="00BA34F7">
        <w:rPr>
          <w:b/>
        </w:rPr>
        <w:t xml:space="preserve"> </w:t>
      </w:r>
      <w:r w:rsidRPr="005E33F1">
        <w:rPr>
          <w:b/>
        </w:rPr>
        <w:t xml:space="preserve">concernant </w:t>
      </w:r>
    </w:p>
    <w:p w14:paraId="63E9F7C9" w14:textId="5A1DE5B4" w:rsidR="005E33F1" w:rsidRDefault="009C1434" w:rsidP="005E33F1">
      <w:pPr>
        <w:pStyle w:val="Titre"/>
        <w:pBdr>
          <w:bottom w:val="single" w:sz="4" w:space="1" w:color="auto"/>
        </w:pBdr>
        <w:jc w:val="center"/>
        <w:rPr>
          <w:b/>
        </w:rPr>
      </w:pPr>
      <w:proofErr w:type="gramStart"/>
      <w:r>
        <w:rPr>
          <w:b/>
        </w:rPr>
        <w:t>l</w:t>
      </w:r>
      <w:r w:rsidR="004D4625">
        <w:rPr>
          <w:b/>
        </w:rPr>
        <w:t>a</w:t>
      </w:r>
      <w:proofErr w:type="gramEnd"/>
      <w:r w:rsidR="004D4625">
        <w:rPr>
          <w:b/>
        </w:rPr>
        <w:t xml:space="preserve"> gestion </w:t>
      </w:r>
      <w:r>
        <w:rPr>
          <w:b/>
        </w:rPr>
        <w:t>de</w:t>
      </w:r>
      <w:r w:rsidR="004D4625">
        <w:rPr>
          <w:b/>
        </w:rPr>
        <w:t>s</w:t>
      </w:r>
      <w:r>
        <w:rPr>
          <w:b/>
        </w:rPr>
        <w:t xml:space="preserve"> terres</w:t>
      </w:r>
    </w:p>
    <w:p w14:paraId="6ACF2721" w14:textId="4802032E" w:rsidR="00BE7A8B" w:rsidRDefault="00BE7A8B"/>
    <w:p w14:paraId="38824DE0" w14:textId="5D8C958F" w:rsidR="00BE7A8B" w:rsidRDefault="00BE7A8B" w:rsidP="00BE7A8B">
      <w:pPr>
        <w:pStyle w:val="Author-eSectionHeading1"/>
      </w:pPr>
      <w:bookmarkStart w:id="0" w:name="_Toc1"/>
      <w:r>
        <w:t>0 T0 Entreprise / Chantier</w:t>
      </w:r>
      <w:bookmarkEnd w:id="0"/>
    </w:p>
    <w:p w14:paraId="3FFBE64C" w14:textId="339B17E9" w:rsidR="00BE7A8B" w:rsidRDefault="00BE7A8B" w:rsidP="00BE7A8B">
      <w:pPr>
        <w:pStyle w:val="Author-eSectionHeading2"/>
      </w:pPr>
      <w:bookmarkStart w:id="1" w:name="_Toc1170"/>
      <w:r>
        <w:t>07 Déchets</w:t>
      </w:r>
      <w:r w:rsidR="00594C0D">
        <w:t xml:space="preserve"> </w:t>
      </w:r>
      <w:r>
        <w:t>: préventions, tris sélectifs sur chantier, stockages, transports et traitements des déchets</w:t>
      </w:r>
      <w:bookmarkEnd w:id="1"/>
    </w:p>
    <w:p w14:paraId="520E42C4" w14:textId="3EFA4AF3" w:rsidR="00BE7A8B" w:rsidRDefault="00BE7A8B" w:rsidP="00BE7A8B">
      <w:pPr>
        <w:pStyle w:val="Author-eSectionHeading3"/>
      </w:pPr>
      <w:bookmarkStart w:id="2" w:name="_Toc1201"/>
      <w:r>
        <w:t>07.3 Gestion des terres excavées</w:t>
      </w:r>
      <w:bookmarkEnd w:id="2"/>
    </w:p>
    <w:p w14:paraId="52CE07D1" w14:textId="77777777" w:rsidR="00193C2F" w:rsidRDefault="00193C2F" w:rsidP="00193C2F">
      <w:pPr>
        <w:pStyle w:val="pheading"/>
      </w:pPr>
      <w:r>
        <w:t>DESCRIPTION</w:t>
      </w:r>
    </w:p>
    <w:p w14:paraId="60750FA6" w14:textId="0AA6E2A5" w:rsidR="00193C2F" w:rsidRDefault="00193C2F" w:rsidP="00193C2F">
      <w:pPr>
        <w:pStyle w:val="pheading"/>
      </w:pPr>
      <w:r>
        <w:t xml:space="preserve">- </w:t>
      </w:r>
      <w:r w:rsidR="004135F7">
        <w:t>Définition / C</w:t>
      </w:r>
      <w:r w:rsidR="00D27332">
        <w:t>omprend</w:t>
      </w:r>
    </w:p>
    <w:p w14:paraId="7114EFA9" w14:textId="4B0E5DB0" w:rsidR="00BE7A8B" w:rsidRPr="00E4491C" w:rsidRDefault="00193C2F" w:rsidP="00E4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E4491C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Dérogé comme suit : </w:t>
      </w:r>
    </w:p>
    <w:p w14:paraId="5F9B547F" w14:textId="4419D31D" w:rsidR="00193C2F" w:rsidRDefault="00193C2F" w:rsidP="00E4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L</w:t>
      </w:r>
      <w:r w:rsidR="00E6317D">
        <w:rPr>
          <w:rFonts w:ascii="Arial" w:eastAsia="Times New Roman" w:hAnsi="Arial" w:cs="Arial"/>
          <w:sz w:val="20"/>
          <w:szCs w:val="20"/>
          <w:lang w:eastAsia="fr-BE"/>
        </w:rPr>
        <w:t>a disposition « </w:t>
      </w:r>
      <w:r w:rsidR="001B5722" w:rsidRPr="001B5722">
        <w:rPr>
          <w:rFonts w:ascii="Arial" w:eastAsia="Times New Roman" w:hAnsi="Arial" w:cs="Arial"/>
          <w:sz w:val="20"/>
          <w:szCs w:val="20"/>
          <w:lang w:eastAsia="fr-BE"/>
        </w:rPr>
        <w:t>La gestion des terres doit être réalisée conformément à l</w:t>
      </w:r>
      <w:proofErr w:type="gramStart"/>
      <w:r w:rsidR="001B5722" w:rsidRPr="001B5722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="001B5722" w:rsidRPr="001B5722">
        <w:rPr>
          <w:rFonts w:ascii="Arial" w:eastAsia="Times New Roman" w:hAnsi="Arial" w:cs="Arial"/>
          <w:sz w:val="20"/>
          <w:szCs w:val="20"/>
          <w:lang w:eastAsia="fr-BE"/>
        </w:rPr>
        <w:t>AGW 2018-07-05], au [DRW 1996-06-27] et à l'[AGW 2001-06-14]</w:t>
      </w:r>
      <w:r w:rsidR="002F47C1">
        <w:rPr>
          <w:rFonts w:ascii="Arial" w:eastAsia="Times New Roman" w:hAnsi="Arial" w:cs="Arial"/>
          <w:sz w:val="20"/>
          <w:szCs w:val="20"/>
          <w:lang w:eastAsia="fr-BE"/>
        </w:rPr>
        <w:t> » est</w:t>
      </w:r>
      <w:r w:rsidR="00ED3A96">
        <w:rPr>
          <w:rFonts w:ascii="Arial" w:eastAsia="Times New Roman" w:hAnsi="Arial" w:cs="Arial"/>
          <w:sz w:val="20"/>
          <w:szCs w:val="20"/>
          <w:lang w:eastAsia="fr-BE"/>
        </w:rPr>
        <w:t xml:space="preserve"> abrogée et</w:t>
      </w:r>
      <w:r w:rsidR="002F47C1">
        <w:rPr>
          <w:rFonts w:ascii="Arial" w:eastAsia="Times New Roman" w:hAnsi="Arial" w:cs="Arial"/>
          <w:sz w:val="20"/>
          <w:szCs w:val="20"/>
          <w:lang w:eastAsia="fr-BE"/>
        </w:rPr>
        <w:t xml:space="preserve"> remplacé</w:t>
      </w:r>
      <w:r w:rsidR="00ED3A96">
        <w:rPr>
          <w:rFonts w:ascii="Arial" w:eastAsia="Times New Roman" w:hAnsi="Arial" w:cs="Arial"/>
          <w:sz w:val="20"/>
          <w:szCs w:val="20"/>
          <w:lang w:eastAsia="fr-BE"/>
        </w:rPr>
        <w:t xml:space="preserve">e </w:t>
      </w:r>
      <w:r w:rsidR="002F47C1">
        <w:rPr>
          <w:rFonts w:ascii="Arial" w:eastAsia="Times New Roman" w:hAnsi="Arial" w:cs="Arial"/>
          <w:sz w:val="20"/>
          <w:szCs w:val="20"/>
          <w:lang w:eastAsia="fr-BE"/>
        </w:rPr>
        <w:t xml:space="preserve">par </w:t>
      </w:r>
      <w:r w:rsidR="004135F7">
        <w:rPr>
          <w:rFonts w:ascii="Arial" w:eastAsia="Times New Roman" w:hAnsi="Arial" w:cs="Arial"/>
          <w:sz w:val="20"/>
          <w:szCs w:val="20"/>
          <w:lang w:eastAsia="fr-BE"/>
        </w:rPr>
        <w:t>« </w:t>
      </w:r>
      <w:r w:rsidR="004135F7" w:rsidRPr="004135F7">
        <w:rPr>
          <w:rFonts w:ascii="Arial" w:eastAsia="Times New Roman" w:hAnsi="Arial" w:cs="Arial"/>
          <w:sz w:val="20"/>
          <w:szCs w:val="20"/>
          <w:lang w:eastAsia="fr-BE"/>
        </w:rPr>
        <w:t>La gestion des terres doit être réalisée conformément à l'[AGW 2018-07-05], au [DRW 2018-03-01], au [DRW 1996-06-27] et à l'[AGW 2001-06-14]</w:t>
      </w:r>
      <w:r w:rsidR="004135F7">
        <w:rPr>
          <w:rFonts w:ascii="Arial" w:eastAsia="Times New Roman" w:hAnsi="Arial" w:cs="Arial"/>
          <w:sz w:val="20"/>
          <w:szCs w:val="20"/>
          <w:lang w:eastAsia="fr-BE"/>
        </w:rPr>
        <w:t> »</w:t>
      </w:r>
      <w:r w:rsidR="001B5722" w:rsidRPr="001B5722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198D24BD" w14:textId="2F18F013" w:rsidR="00BD69A8" w:rsidRPr="00E4491C" w:rsidRDefault="005C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La disposition </w:t>
      </w:r>
      <w:r w:rsidR="00D745FF">
        <w:rPr>
          <w:rFonts w:ascii="Arial" w:eastAsia="Times New Roman" w:hAnsi="Arial" w:cs="Arial"/>
          <w:sz w:val="20"/>
          <w:szCs w:val="20"/>
          <w:lang w:eastAsia="fr-BE"/>
        </w:rPr>
        <w:t>« </w:t>
      </w:r>
      <w:r w:rsidR="00D745FF" w:rsidRPr="00D745FF">
        <w:rPr>
          <w:rFonts w:ascii="Arial" w:eastAsia="Times New Roman" w:hAnsi="Arial" w:cs="Arial"/>
          <w:sz w:val="20"/>
          <w:szCs w:val="20"/>
          <w:lang w:eastAsia="fr-BE"/>
        </w:rPr>
        <w:t>Cas spécifique : Si le pouvoir adjudicateur choisit l'option non recommandée et à ne recourir qu'exceptionnellement - à savoir de faire évacuer les terres du chantier sans CCQT vers une installation autorisée, conformément à l'[AGW 2018-07-05] - la qualité de la terre n'étant par conséquent pas connue, il devra prescrire un poste non soumis à concurrence pour la gestion et l'évacuation des terres (poste non proposé au niveau du CCT-B)</w:t>
      </w:r>
      <w:r w:rsidR="00D745FF">
        <w:rPr>
          <w:rFonts w:ascii="Arial" w:eastAsia="Times New Roman" w:hAnsi="Arial" w:cs="Arial"/>
          <w:sz w:val="20"/>
          <w:szCs w:val="20"/>
          <w:lang w:eastAsia="fr-BE"/>
        </w:rPr>
        <w:t> » est abrogée et remplacée par « </w:t>
      </w:r>
      <w:r w:rsidR="00BD69A8" w:rsidRPr="00BD69A8">
        <w:rPr>
          <w:rFonts w:ascii="Arial" w:eastAsia="Times New Roman" w:hAnsi="Arial" w:cs="Arial"/>
          <w:sz w:val="20"/>
          <w:szCs w:val="20"/>
          <w:lang w:eastAsia="fr-BE"/>
        </w:rPr>
        <w:t>Cas spécifique : Si le pouvoir adjudicateur choisit l'option non recommandée et à</w:t>
      </w:r>
      <w:r w:rsidR="00AD683D">
        <w:rPr>
          <w:rFonts w:ascii="Arial" w:eastAsia="Times New Roman" w:hAnsi="Arial" w:cs="Arial"/>
          <w:sz w:val="20"/>
          <w:szCs w:val="20"/>
          <w:lang w:eastAsia="fr-BE"/>
        </w:rPr>
        <w:t xml:space="preserve"> laquelle</w:t>
      </w:r>
      <w:r w:rsidR="00BD69A8" w:rsidRPr="00BD69A8">
        <w:rPr>
          <w:rFonts w:ascii="Arial" w:eastAsia="Times New Roman" w:hAnsi="Arial" w:cs="Arial"/>
          <w:sz w:val="20"/>
          <w:szCs w:val="20"/>
          <w:lang w:eastAsia="fr-BE"/>
        </w:rPr>
        <w:t xml:space="preserve"> ne recourir qu'exceptionnellement - à savoir de faire évacuer les terres du chantier sans CCQT vers une installation autorisée, conformément à l'[AGW 2018-07-05] - un poste concernant l'évacuation des terres non analysées est présent </w:t>
      </w:r>
      <w:r w:rsidR="00550F53">
        <w:rPr>
          <w:rFonts w:ascii="Arial" w:eastAsia="Times New Roman" w:hAnsi="Arial" w:cs="Arial"/>
          <w:sz w:val="20"/>
          <w:szCs w:val="20"/>
          <w:lang w:eastAsia="fr-BE"/>
        </w:rPr>
        <w:t>sous le titre</w:t>
      </w:r>
      <w:r w:rsidR="00BD69A8" w:rsidRPr="00BD69A8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550F53">
        <w:rPr>
          <w:rFonts w:ascii="Arial" w:eastAsia="Times New Roman" w:hAnsi="Arial" w:cs="Arial"/>
          <w:sz w:val="20"/>
          <w:szCs w:val="20"/>
          <w:lang w:eastAsia="fr-BE"/>
        </w:rPr>
        <w:t>0</w:t>
      </w:r>
      <w:r w:rsidR="00BD69A8" w:rsidRPr="00BD69A8">
        <w:rPr>
          <w:rFonts w:ascii="Arial" w:eastAsia="Times New Roman" w:hAnsi="Arial" w:cs="Arial"/>
          <w:sz w:val="20"/>
          <w:szCs w:val="20"/>
          <w:lang w:eastAsia="fr-BE"/>
        </w:rPr>
        <w:t>7.32.</w:t>
      </w:r>
      <w:r w:rsidR="00550F53">
        <w:rPr>
          <w:rFonts w:ascii="Arial" w:eastAsia="Times New Roman" w:hAnsi="Arial" w:cs="Arial"/>
          <w:sz w:val="20"/>
          <w:szCs w:val="20"/>
          <w:lang w:eastAsia="fr-BE"/>
        </w:rPr>
        <w:t>9</w:t>
      </w:r>
      <w:r w:rsidR="00BD69A8">
        <w:rPr>
          <w:rFonts w:ascii="Arial" w:eastAsia="Times New Roman" w:hAnsi="Arial" w:cs="Arial"/>
          <w:sz w:val="20"/>
          <w:szCs w:val="20"/>
          <w:lang w:eastAsia="fr-BE"/>
        </w:rPr>
        <w:t>. »</w:t>
      </w:r>
      <w:r w:rsidR="00497209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7B4617DC" w14:textId="2D3C970D" w:rsidR="00193C2F" w:rsidRDefault="00193C2F" w:rsidP="00E4491C">
      <w:pP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14:paraId="23A6F531" w14:textId="6033E520" w:rsidR="00497209" w:rsidRDefault="00497209" w:rsidP="00497209">
      <w:pPr>
        <w:pStyle w:val="pheading"/>
      </w:pPr>
      <w:r>
        <w:t xml:space="preserve">- Remarques importantes </w:t>
      </w:r>
    </w:p>
    <w:p w14:paraId="170E7F7C" w14:textId="77777777" w:rsidR="00497209" w:rsidRPr="00E4491C" w:rsidRDefault="00497209" w:rsidP="0049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E4491C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Dérogé comme suit : </w:t>
      </w:r>
    </w:p>
    <w:p w14:paraId="223D6AB3" w14:textId="43D55CA3" w:rsidR="00497209" w:rsidRDefault="00497209" w:rsidP="0049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La disposition « </w:t>
      </w:r>
      <w:r w:rsidR="009F684E" w:rsidRPr="009F684E">
        <w:rPr>
          <w:rFonts w:ascii="Arial" w:eastAsia="Times New Roman" w:hAnsi="Arial" w:cs="Arial"/>
          <w:sz w:val="20"/>
          <w:szCs w:val="20"/>
          <w:lang w:eastAsia="fr-BE"/>
        </w:rPr>
        <w:t>L</w:t>
      </w:r>
      <w:proofErr w:type="gramStart"/>
      <w:r w:rsidR="009F684E" w:rsidRPr="009F684E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="009F684E" w:rsidRPr="009F684E">
        <w:rPr>
          <w:rFonts w:ascii="Arial" w:eastAsia="Times New Roman" w:hAnsi="Arial" w:cs="Arial"/>
          <w:sz w:val="20"/>
          <w:szCs w:val="20"/>
          <w:lang w:eastAsia="fr-BE"/>
        </w:rPr>
        <w:t>AGW 2018-07-05] n'est pas d'application pour les terres destinées à être éliminée en centre d'enfouissement technique.</w:t>
      </w:r>
      <w:r>
        <w:rPr>
          <w:rFonts w:ascii="Arial" w:eastAsia="Times New Roman" w:hAnsi="Arial" w:cs="Arial"/>
          <w:sz w:val="20"/>
          <w:szCs w:val="20"/>
          <w:lang w:eastAsia="fr-BE"/>
        </w:rPr>
        <w:t>»</w:t>
      </w:r>
      <w:r w:rsidR="009F684E">
        <w:rPr>
          <w:rFonts w:ascii="Arial" w:eastAsia="Times New Roman" w:hAnsi="Arial" w:cs="Arial"/>
          <w:sz w:val="20"/>
          <w:szCs w:val="20"/>
          <w:lang w:eastAsia="fr-BE"/>
        </w:rPr>
        <w:t xml:space="preserve"> est abrogée et remplacée par « </w:t>
      </w:r>
      <w:r w:rsidR="00D35518" w:rsidRPr="00D35518">
        <w:rPr>
          <w:rFonts w:ascii="Arial" w:eastAsia="Times New Roman" w:hAnsi="Arial" w:cs="Arial"/>
          <w:sz w:val="20"/>
          <w:szCs w:val="20"/>
          <w:lang w:eastAsia="fr-BE"/>
        </w:rPr>
        <w:t>Les terres destinées à être éliminées en centre d’enfouissement technique font l’objet d’une traçabilité conforme à l’ [AGW 2018-07-05].</w:t>
      </w:r>
      <w:r w:rsidR="00D35518">
        <w:rPr>
          <w:rFonts w:ascii="Arial" w:eastAsia="Times New Roman" w:hAnsi="Arial" w:cs="Arial"/>
          <w:sz w:val="20"/>
          <w:szCs w:val="20"/>
          <w:lang w:eastAsia="fr-BE"/>
        </w:rPr>
        <w:t> »</w:t>
      </w:r>
    </w:p>
    <w:p w14:paraId="087B9150" w14:textId="07825766" w:rsidR="00497209" w:rsidRDefault="00497209" w:rsidP="00E4491C">
      <w:pP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14:paraId="4B92BCC0" w14:textId="77777777" w:rsidR="00D73A0B" w:rsidRDefault="00D73A0B" w:rsidP="00E4491C">
      <w:pPr>
        <w:pStyle w:val="Author-eSectionHeading4"/>
      </w:pPr>
    </w:p>
    <w:p w14:paraId="15091B1A" w14:textId="77777777" w:rsidR="00D73A0B" w:rsidRDefault="00D73A0B" w:rsidP="00E4491C">
      <w:pPr>
        <w:pStyle w:val="Author-eSectionHeading4"/>
      </w:pPr>
    </w:p>
    <w:p w14:paraId="48809E8B" w14:textId="77777777" w:rsidR="00D73A0B" w:rsidRDefault="00D73A0B" w:rsidP="00E4491C">
      <w:pPr>
        <w:pStyle w:val="Author-eSectionHeading4"/>
      </w:pPr>
    </w:p>
    <w:p w14:paraId="3C3E9CB9" w14:textId="77777777" w:rsidR="00D73A0B" w:rsidRDefault="00D73A0B" w:rsidP="00E4491C">
      <w:pPr>
        <w:pStyle w:val="Author-eSectionHeading4"/>
      </w:pPr>
    </w:p>
    <w:p w14:paraId="36F330AA" w14:textId="490F2E90" w:rsidR="00BE7A8B" w:rsidRPr="000D4451" w:rsidRDefault="00BE7A8B" w:rsidP="00E4491C">
      <w:pPr>
        <w:pStyle w:val="Author-eSectionHeading4"/>
      </w:pPr>
      <w:r w:rsidRPr="000D4451">
        <w:lastRenderedPageBreak/>
        <w:t>07.</w:t>
      </w:r>
      <w:r w:rsidR="00480FF7">
        <w:t>3</w:t>
      </w:r>
      <w:r w:rsidRPr="000D4451">
        <w:t>1. Stockage temporaire des terres excavées</w:t>
      </w:r>
    </w:p>
    <w:p w14:paraId="2A9EAFBE" w14:textId="2F3C8256" w:rsidR="00BE7A8B" w:rsidRPr="000D4451" w:rsidRDefault="000D4451" w:rsidP="00E4491C">
      <w:pPr>
        <w:pStyle w:val="Author-eSectionHeading5"/>
      </w:pPr>
      <w:r>
        <w:t>07.</w:t>
      </w:r>
      <w:r w:rsidR="00480FF7">
        <w:t>3</w:t>
      </w:r>
      <w:r w:rsidR="00BE7A8B" w:rsidRPr="000D4451">
        <w:t>1.1. Stockage temporaire sur le site d'origine des terres excavées</w:t>
      </w:r>
    </w:p>
    <w:p w14:paraId="016DDFF5" w14:textId="77777777" w:rsidR="000D4451" w:rsidRDefault="000D4451" w:rsidP="000D4451">
      <w:pPr>
        <w:pStyle w:val="pheading"/>
      </w:pPr>
      <w:r>
        <w:t>DESCRIPTION</w:t>
      </w:r>
    </w:p>
    <w:p w14:paraId="6F356BE7" w14:textId="77777777" w:rsidR="000D4451" w:rsidRDefault="000D4451" w:rsidP="000D4451">
      <w:pPr>
        <w:pStyle w:val="pheading"/>
      </w:pPr>
      <w:r>
        <w:t>- Définition / Comprend</w:t>
      </w:r>
    </w:p>
    <w:p w14:paraId="57237BE2" w14:textId="3F60F8E1" w:rsidR="000D4451" w:rsidRPr="00E4491C" w:rsidRDefault="003850F1" w:rsidP="00E4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Dérogé </w:t>
      </w:r>
      <w:r w:rsidR="000D4451" w:rsidRPr="00E4491C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comme suit :</w:t>
      </w:r>
    </w:p>
    <w:p w14:paraId="431E2371" w14:textId="12D1510F" w:rsidR="00BE7A8B" w:rsidRPr="00E4491C" w:rsidRDefault="00BE7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L</w:t>
      </w:r>
      <w:r w:rsidR="003850F1">
        <w:rPr>
          <w:rFonts w:ascii="Arial" w:eastAsia="Times New Roman" w:hAnsi="Arial" w:cs="Arial"/>
          <w:sz w:val="20"/>
          <w:szCs w:val="20"/>
          <w:lang w:eastAsia="fr-BE"/>
        </w:rPr>
        <w:t>a disposition « </w:t>
      </w:r>
      <w:r w:rsidR="0077139C" w:rsidRPr="0077139C">
        <w:rPr>
          <w:rFonts w:ascii="Arial" w:eastAsia="Times New Roman" w:hAnsi="Arial" w:cs="Arial"/>
          <w:sz w:val="20"/>
          <w:szCs w:val="20"/>
          <w:lang w:eastAsia="fr-BE"/>
        </w:rPr>
        <w:t>Une déclaration de classe 3, autorisant la rubrique 45.92.01, est à introduire à la Commune auprès de laquelle se déroulera le chantier lorsque la quantité stockée de terres excavées est supérieure à 30 tonnes</w:t>
      </w:r>
      <w:r w:rsidR="0077139C">
        <w:rPr>
          <w:rFonts w:ascii="Arial" w:eastAsia="Times New Roman" w:hAnsi="Arial" w:cs="Arial"/>
          <w:sz w:val="20"/>
          <w:szCs w:val="20"/>
          <w:lang w:eastAsia="fr-BE"/>
        </w:rPr>
        <w:t> » est abrogée et remplacée par « </w:t>
      </w:r>
      <w:r w:rsidR="008202ED" w:rsidRPr="008202ED">
        <w:rPr>
          <w:rFonts w:ascii="Arial" w:eastAsia="Times New Roman" w:hAnsi="Arial" w:cs="Arial"/>
          <w:sz w:val="20"/>
          <w:szCs w:val="20"/>
          <w:lang w:eastAsia="fr-BE"/>
        </w:rPr>
        <w:t xml:space="preserve">Une déclaration de classe 3, autorisant la rubrique 45.92.01, est à introduire soit via le site </w:t>
      </w:r>
      <w:hyperlink r:id="rId7" w:history="1">
        <w:r w:rsidR="008202ED" w:rsidRPr="006F3C31">
          <w:rPr>
            <w:rStyle w:val="Lienhypertexte"/>
            <w:rFonts w:ascii="Arial" w:eastAsia="Times New Roman" w:hAnsi="Arial" w:cs="Arial"/>
            <w:sz w:val="20"/>
            <w:szCs w:val="20"/>
            <w:lang w:eastAsia="fr-BE"/>
          </w:rPr>
          <w:t>www.wallonie.be</w:t>
        </w:r>
      </w:hyperlink>
      <w:r w:rsidR="008202ED" w:rsidRPr="008202ED">
        <w:rPr>
          <w:rFonts w:ascii="Arial" w:eastAsia="Times New Roman" w:hAnsi="Arial" w:cs="Arial"/>
          <w:sz w:val="20"/>
          <w:szCs w:val="20"/>
          <w:lang w:eastAsia="fr-BE"/>
        </w:rPr>
        <w:t>, soit directement à la Commune auprès de laquelle se déroulera le chantier lorsque la quantité stockée de terres excavées est supérieure à 30 tonnes</w:t>
      </w:r>
      <w:r w:rsidR="008202ED">
        <w:rPr>
          <w:rFonts w:ascii="Arial" w:eastAsia="Times New Roman" w:hAnsi="Arial" w:cs="Arial"/>
          <w:sz w:val="20"/>
          <w:szCs w:val="20"/>
          <w:lang w:eastAsia="fr-BE"/>
        </w:rPr>
        <w:t> »</w:t>
      </w:r>
      <w:r w:rsidRPr="00E4491C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76428941" w14:textId="77777777" w:rsidR="00BE7A8B" w:rsidRPr="00E4491C" w:rsidRDefault="00BE7A8B" w:rsidP="00E4491C">
      <w:pP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14:paraId="6DA3A706" w14:textId="64E1CCA1" w:rsidR="00BE7A8B" w:rsidRPr="00C467A9" w:rsidRDefault="000D4451" w:rsidP="00E4491C">
      <w:pPr>
        <w:pStyle w:val="Author-eSectionHeading4"/>
      </w:pPr>
      <w:r w:rsidRPr="00E4491C">
        <w:t>07.</w:t>
      </w:r>
      <w:r w:rsidR="008C1041">
        <w:t>3</w:t>
      </w:r>
      <w:r w:rsidR="00F3058A" w:rsidRPr="00C467A9">
        <w:t>2</w:t>
      </w:r>
      <w:r w:rsidR="00BE7A8B" w:rsidRPr="00C467A9">
        <w:t xml:space="preserve">. Gestion des terres de type d'usage </w:t>
      </w:r>
      <w:r w:rsidR="00FF5378">
        <w:t>I</w:t>
      </w:r>
      <w:r w:rsidR="00BE7A8B" w:rsidRPr="00C467A9">
        <w:t xml:space="preserve"> à </w:t>
      </w:r>
      <w:r w:rsidR="00FF5378">
        <w:t>V</w:t>
      </w:r>
    </w:p>
    <w:p w14:paraId="3A4B9355" w14:textId="77777777" w:rsidR="00BE7A8B" w:rsidRPr="00C467A9" w:rsidRDefault="00BE7A8B" w:rsidP="00E4491C">
      <w:pPr>
        <w:pStyle w:val="pheading"/>
      </w:pPr>
      <w:r w:rsidRPr="00C467A9">
        <w:t>DESCRIPTION</w:t>
      </w:r>
    </w:p>
    <w:p w14:paraId="005FEAFD" w14:textId="77777777" w:rsidR="00BE7A8B" w:rsidRPr="00C467A9" w:rsidRDefault="00BE7A8B" w:rsidP="00E4491C">
      <w:pPr>
        <w:pStyle w:val="pheading"/>
      </w:pPr>
      <w:r w:rsidRPr="00C467A9">
        <w:t>- Définition / Comprend</w:t>
      </w:r>
    </w:p>
    <w:p w14:paraId="2B94522D" w14:textId="457439B2" w:rsidR="00F3058A" w:rsidRPr="00AD1460" w:rsidRDefault="00A11DD3" w:rsidP="00C467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Dérogé </w:t>
      </w:r>
      <w:r w:rsidR="00F3058A"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comme suit :</w:t>
      </w:r>
    </w:p>
    <w:p w14:paraId="7612397E" w14:textId="5994FEEB" w:rsidR="00BE7A8B" w:rsidRPr="00E4491C" w:rsidRDefault="00A11DD3" w:rsidP="00E44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La disposition « </w:t>
      </w:r>
      <w:r w:rsidR="00BE7A8B" w:rsidRPr="2A95D2E1">
        <w:rPr>
          <w:rFonts w:ascii="Arial" w:eastAsia="Times New Roman" w:hAnsi="Arial" w:cs="Arial"/>
          <w:sz w:val="20"/>
          <w:szCs w:val="20"/>
          <w:lang w:eastAsia="fr-BE"/>
        </w:rPr>
        <w:t xml:space="preserve">- Evacuation pour une élimination en centre d'enfouissement technique </w:t>
      </w:r>
      <w:r w:rsidR="00B32441">
        <w:rPr>
          <w:rFonts w:ascii="Arial" w:eastAsia="Times New Roman" w:hAnsi="Arial" w:cs="Arial"/>
          <w:sz w:val="20"/>
          <w:szCs w:val="20"/>
          <w:lang w:eastAsia="fr-BE"/>
        </w:rPr>
        <w:t>(non application de l</w:t>
      </w:r>
      <w:proofErr w:type="gramStart"/>
      <w:r w:rsidR="00B32441">
        <w:rPr>
          <w:rFonts w:ascii="Arial" w:eastAsia="Times New Roman" w:hAnsi="Arial" w:cs="Arial"/>
          <w:sz w:val="20"/>
          <w:szCs w:val="20"/>
          <w:lang w:eastAsia="fr-BE"/>
        </w:rPr>
        <w:t>’[</w:t>
      </w:r>
      <w:proofErr w:type="gramEnd"/>
      <w:r w:rsidR="00B32441">
        <w:rPr>
          <w:rFonts w:ascii="Arial" w:eastAsia="Times New Roman" w:hAnsi="Arial" w:cs="Arial"/>
          <w:sz w:val="20"/>
          <w:szCs w:val="20"/>
          <w:lang w:eastAsia="fr-BE"/>
        </w:rPr>
        <w:t>AGW 2018-07-05] » est abrogée et remplacée par « </w:t>
      </w:r>
      <w:r w:rsidR="00B32441" w:rsidRPr="2A95D2E1">
        <w:rPr>
          <w:rFonts w:ascii="Arial" w:eastAsia="Times New Roman" w:hAnsi="Arial" w:cs="Arial"/>
          <w:sz w:val="20"/>
          <w:szCs w:val="20"/>
          <w:lang w:eastAsia="fr-BE"/>
        </w:rPr>
        <w:t>- Evacuation pour une élimination en centre d'enfouissement technique</w:t>
      </w:r>
      <w:r w:rsidR="00B32441">
        <w:rPr>
          <w:rFonts w:ascii="Arial" w:eastAsia="Times New Roman" w:hAnsi="Arial" w:cs="Arial"/>
          <w:sz w:val="20"/>
          <w:szCs w:val="20"/>
          <w:lang w:eastAsia="fr-BE"/>
        </w:rPr>
        <w:t xml:space="preserve"> ». </w:t>
      </w:r>
    </w:p>
    <w:p w14:paraId="039189AA" w14:textId="77777777" w:rsidR="00FC23F1" w:rsidRDefault="00FC23F1" w:rsidP="00E4491C">
      <w:pPr>
        <w:pStyle w:val="Author-eSectionHeading5"/>
      </w:pPr>
    </w:p>
    <w:p w14:paraId="2275724E" w14:textId="7BC74B63" w:rsidR="00BE7A8B" w:rsidRPr="00C467A9" w:rsidRDefault="00F3058A" w:rsidP="00E4491C">
      <w:pPr>
        <w:pStyle w:val="Author-eSectionHeading5"/>
      </w:pPr>
      <w:r w:rsidRPr="00E4491C">
        <w:t>07.</w:t>
      </w:r>
      <w:r w:rsidR="009221CC">
        <w:t>3</w:t>
      </w:r>
      <w:r w:rsidRPr="00E4491C">
        <w:t>2</w:t>
      </w:r>
      <w:r w:rsidR="00BE7A8B" w:rsidRPr="00C467A9">
        <w:t xml:space="preserve">.1. Gestion des terres de type d'usage </w:t>
      </w:r>
      <w:r w:rsidR="006C0FFD">
        <w:t>I</w:t>
      </w:r>
    </w:p>
    <w:p w14:paraId="03F81D4D" w14:textId="28BB1F4C" w:rsidR="00BE7A8B" w:rsidRPr="00C467A9" w:rsidRDefault="00F3058A" w:rsidP="00E4491C">
      <w:pPr>
        <w:pStyle w:val="Author-eSectionHeading6"/>
      </w:pPr>
      <w:r w:rsidRPr="00E4491C">
        <w:t>07.</w:t>
      </w:r>
      <w:r w:rsidR="009221CC">
        <w:t>3</w:t>
      </w:r>
      <w:r w:rsidRPr="00E4491C">
        <w:t>2</w:t>
      </w:r>
      <w:r w:rsidR="00BE7A8B" w:rsidRPr="00C467A9">
        <w:t xml:space="preserve">.1b. Evacuation des terres de type d'usage </w:t>
      </w:r>
      <w:r w:rsidR="006C0FFD">
        <w:t>I</w:t>
      </w:r>
      <w:r w:rsidR="00BE7A8B" w:rsidRPr="00C467A9">
        <w:t xml:space="preserve"> </w:t>
      </w:r>
    </w:p>
    <w:p w14:paraId="6088BE81" w14:textId="77777777" w:rsidR="00BE7A8B" w:rsidRPr="00C467A9" w:rsidRDefault="00BE7A8B" w:rsidP="00E4491C">
      <w:pPr>
        <w:pStyle w:val="pheading"/>
      </w:pPr>
      <w:r w:rsidRPr="00C467A9">
        <w:t>DESCRIPTION</w:t>
      </w:r>
    </w:p>
    <w:p w14:paraId="79014928" w14:textId="77777777" w:rsidR="00BE7A8B" w:rsidRPr="00C467A9" w:rsidRDefault="00BE7A8B" w:rsidP="00E4491C">
      <w:pPr>
        <w:pStyle w:val="pheading"/>
      </w:pPr>
      <w:r w:rsidRPr="00C467A9">
        <w:t>- Définition / Comprend</w:t>
      </w:r>
    </w:p>
    <w:p w14:paraId="5B684A6F" w14:textId="2DAC61CE" w:rsidR="00E4491C" w:rsidRPr="00AD1460" w:rsidRDefault="00054236" w:rsidP="00E44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Dérogé </w:t>
      </w:r>
      <w:r w:rsidR="00E4491C"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comme suit :</w:t>
      </w:r>
    </w:p>
    <w:p w14:paraId="2B12BE6E" w14:textId="310EA299" w:rsidR="00BE7A8B" w:rsidRPr="00E4491C" w:rsidRDefault="00BE7A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L</w:t>
      </w:r>
      <w:r w:rsidR="00054236">
        <w:rPr>
          <w:rFonts w:ascii="Arial" w:eastAsia="Times New Roman" w:hAnsi="Arial" w:cs="Arial"/>
          <w:sz w:val="20"/>
          <w:szCs w:val="20"/>
          <w:lang w:eastAsia="fr-BE"/>
        </w:rPr>
        <w:t>a disposition « </w:t>
      </w:r>
      <w:r w:rsidR="00BB4D0C" w:rsidRPr="00BB4D0C">
        <w:rPr>
          <w:rFonts w:ascii="Arial" w:eastAsia="Times New Roman" w:hAnsi="Arial" w:cs="Arial"/>
          <w:sz w:val="20"/>
          <w:szCs w:val="20"/>
          <w:lang w:eastAsia="fr-BE"/>
        </w:rPr>
        <w:t>Le prix pour cet article comprend le chargement, le transport ainsi que les éventuels droits de dossier de notification du mouvement des terres (conformément à l</w:t>
      </w:r>
      <w:proofErr w:type="gramStart"/>
      <w:r w:rsidR="00BB4D0C" w:rsidRPr="00BB4D0C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="00BB4D0C" w:rsidRPr="00BB4D0C">
        <w:rPr>
          <w:rFonts w:ascii="Arial" w:eastAsia="Times New Roman" w:hAnsi="Arial" w:cs="Arial"/>
          <w:sz w:val="20"/>
          <w:szCs w:val="20"/>
          <w:lang w:eastAsia="fr-BE"/>
        </w:rPr>
        <w:t>AGW 2018-07-05] et le déchargement au lieu de destination. Les types de destinations sont décrits à l'élément 07.32 Gestion des terres de type d'usage I à V</w:t>
      </w:r>
      <w:r w:rsidR="00BB4D0C">
        <w:rPr>
          <w:rFonts w:ascii="Arial" w:eastAsia="Times New Roman" w:hAnsi="Arial" w:cs="Arial"/>
          <w:sz w:val="20"/>
          <w:szCs w:val="20"/>
          <w:lang w:eastAsia="fr-BE"/>
        </w:rPr>
        <w:t> » est abrogée et remplacée par « </w:t>
      </w:r>
      <w:r w:rsidR="00BB4D0C" w:rsidRPr="00BB4D0C">
        <w:rPr>
          <w:rFonts w:ascii="Arial" w:eastAsia="Times New Roman" w:hAnsi="Arial" w:cs="Arial"/>
          <w:sz w:val="20"/>
          <w:szCs w:val="20"/>
          <w:lang w:eastAsia="fr-BE"/>
        </w:rPr>
        <w:t xml:space="preserve">Le prix pour cet article comprend le chargement, le transport ainsi que les droits de dossier de notification du mouvement des terres (conformément </w:t>
      </w:r>
      <w:r w:rsidR="0062385E" w:rsidRPr="00BB4D0C">
        <w:rPr>
          <w:rFonts w:ascii="Arial" w:eastAsia="Times New Roman" w:hAnsi="Arial" w:cs="Arial"/>
          <w:sz w:val="20"/>
          <w:szCs w:val="20"/>
          <w:lang w:eastAsia="fr-BE"/>
        </w:rPr>
        <w:t>à l</w:t>
      </w:r>
      <w:proofErr w:type="gramStart"/>
      <w:r w:rsidR="0062385E" w:rsidRPr="00BB4D0C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="0062385E" w:rsidRPr="00BB4D0C">
        <w:rPr>
          <w:rFonts w:ascii="Arial" w:eastAsia="Times New Roman" w:hAnsi="Arial" w:cs="Arial"/>
          <w:sz w:val="20"/>
          <w:szCs w:val="20"/>
          <w:lang w:eastAsia="fr-BE"/>
        </w:rPr>
        <w:t>AGW 2018-07-05]</w:t>
      </w:r>
      <w:r w:rsidR="00BB4D0C" w:rsidRPr="00BB4D0C">
        <w:rPr>
          <w:rFonts w:ascii="Arial" w:eastAsia="Times New Roman" w:hAnsi="Arial" w:cs="Arial"/>
          <w:sz w:val="20"/>
          <w:szCs w:val="20"/>
          <w:lang w:eastAsia="fr-BE"/>
        </w:rPr>
        <w:t>), le déchargement au lieu de destination et la notification de réception des terres. Les types de destinations sont décrits à l'élément 07.32.</w:t>
      </w:r>
      <w:r w:rsidR="00AF0740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AF0740" w:rsidRPr="00AF0740">
        <w:rPr>
          <w:rFonts w:ascii="Arial" w:eastAsia="Times New Roman" w:hAnsi="Arial" w:cs="Arial"/>
          <w:sz w:val="20"/>
          <w:szCs w:val="20"/>
          <w:lang w:eastAsia="fr-BE"/>
        </w:rPr>
        <w:t>Gestion des terres de type d'usage I à V</w:t>
      </w:r>
      <w:r w:rsidR="0062385E">
        <w:rPr>
          <w:rFonts w:ascii="Arial" w:eastAsia="Times New Roman" w:hAnsi="Arial" w:cs="Arial"/>
          <w:sz w:val="20"/>
          <w:szCs w:val="20"/>
          <w:lang w:eastAsia="fr-BE"/>
        </w:rPr>
        <w:t> »</w:t>
      </w:r>
      <w:r w:rsidRPr="00E4491C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36BFE625" w14:textId="77777777" w:rsidR="006A3436" w:rsidRPr="00E4491C" w:rsidRDefault="006A3436" w:rsidP="006A3436">
      <w:pP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14:paraId="069FF4C9" w14:textId="2AC407AA" w:rsidR="00BE7A8B" w:rsidRPr="00E4491C" w:rsidRDefault="00F3058A" w:rsidP="00E4491C">
      <w:pPr>
        <w:pStyle w:val="Author-eSectionHeading5"/>
      </w:pPr>
      <w:r w:rsidRPr="00E4491C">
        <w:t>07.</w:t>
      </w:r>
      <w:r w:rsidR="003A16B6">
        <w:t>3</w:t>
      </w:r>
      <w:r w:rsidRPr="00E4491C">
        <w:t>2</w:t>
      </w:r>
      <w:r w:rsidR="00BE7A8B" w:rsidRPr="00E4491C">
        <w:t xml:space="preserve">.2. Gestion des terres de type d'usage </w:t>
      </w:r>
      <w:r w:rsidR="006C0FFD">
        <w:t>II</w:t>
      </w:r>
    </w:p>
    <w:p w14:paraId="2746A755" w14:textId="36578C1F" w:rsidR="00BE7A8B" w:rsidRPr="00DD4420" w:rsidRDefault="00F3058A" w:rsidP="00DD4420">
      <w:pPr>
        <w:pStyle w:val="Author-eSectionHeading6"/>
      </w:pPr>
      <w:r w:rsidRPr="00DD4420">
        <w:t>07.</w:t>
      </w:r>
      <w:r w:rsidR="003A16B6">
        <w:t>3</w:t>
      </w:r>
      <w:r w:rsidRPr="00DD4420">
        <w:t>2</w:t>
      </w:r>
      <w:r w:rsidR="00BE7A8B" w:rsidRPr="00DD4420">
        <w:t xml:space="preserve">.2b. Evacuation des terres de type d'usage </w:t>
      </w:r>
      <w:r w:rsidR="006C0FFD">
        <w:t>II</w:t>
      </w:r>
      <w:r w:rsidR="00BE7A8B" w:rsidRPr="00DD4420">
        <w:t xml:space="preserve"> </w:t>
      </w:r>
    </w:p>
    <w:p w14:paraId="5C8E2159" w14:textId="77777777" w:rsidR="00BE7A8B" w:rsidRPr="00F34EF3" w:rsidRDefault="00BE7A8B" w:rsidP="00F34EF3">
      <w:pPr>
        <w:pStyle w:val="pheading"/>
      </w:pPr>
      <w:r w:rsidRPr="00F34EF3">
        <w:t>DESCRIPTION</w:t>
      </w:r>
    </w:p>
    <w:p w14:paraId="53A23962" w14:textId="77777777" w:rsidR="00BE7A8B" w:rsidRPr="00F34EF3" w:rsidRDefault="00BE7A8B" w:rsidP="00F34EF3">
      <w:pPr>
        <w:pStyle w:val="pheading"/>
      </w:pPr>
      <w:r w:rsidRPr="00F34EF3">
        <w:t>- Définition / Comprend</w:t>
      </w:r>
    </w:p>
    <w:p w14:paraId="3D28A190" w14:textId="57A7631E" w:rsidR="006A3436" w:rsidRPr="00AD1460" w:rsidRDefault="003A16B6" w:rsidP="002B6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Dérogé</w:t>
      </w: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 </w:t>
      </w:r>
      <w:r w:rsidR="006A3436"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comme suit :</w:t>
      </w:r>
    </w:p>
    <w:p w14:paraId="022CEC9A" w14:textId="5B5F139D" w:rsidR="00BE7A8B" w:rsidRPr="00E4491C" w:rsidRDefault="003A16B6" w:rsidP="002B6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L</w:t>
      </w:r>
      <w:r>
        <w:rPr>
          <w:rFonts w:ascii="Arial" w:eastAsia="Times New Roman" w:hAnsi="Arial" w:cs="Arial"/>
          <w:sz w:val="20"/>
          <w:szCs w:val="20"/>
          <w:lang w:eastAsia="fr-BE"/>
        </w:rPr>
        <w:t>a disposition « </w:t>
      </w:r>
      <w:r w:rsidRPr="00BB4D0C">
        <w:rPr>
          <w:rFonts w:ascii="Arial" w:eastAsia="Times New Roman" w:hAnsi="Arial" w:cs="Arial"/>
          <w:sz w:val="20"/>
          <w:szCs w:val="20"/>
          <w:lang w:eastAsia="fr-BE"/>
        </w:rPr>
        <w:t>Le prix pour cet article comprend le chargement, le transport ainsi que les éventuels droits de dossier de notification du mouvement des terres (conformément à l</w:t>
      </w:r>
      <w:proofErr w:type="gramStart"/>
      <w:r w:rsidRPr="00BB4D0C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Pr="00BB4D0C">
        <w:rPr>
          <w:rFonts w:ascii="Arial" w:eastAsia="Times New Roman" w:hAnsi="Arial" w:cs="Arial"/>
          <w:sz w:val="20"/>
          <w:szCs w:val="20"/>
          <w:lang w:eastAsia="fr-BE"/>
        </w:rPr>
        <w:t>AGW 2018-07-05] et le déchargement au lieu de destination. Les types de destinations sont décrits à l'élément 07.32 Gestion des terres de type d'usage I à V</w:t>
      </w:r>
      <w:r>
        <w:rPr>
          <w:rFonts w:ascii="Arial" w:eastAsia="Times New Roman" w:hAnsi="Arial" w:cs="Arial"/>
          <w:sz w:val="20"/>
          <w:szCs w:val="20"/>
          <w:lang w:eastAsia="fr-BE"/>
        </w:rPr>
        <w:t> » est abrogée et remplacée par « </w:t>
      </w:r>
      <w:r w:rsidRPr="00BB4D0C">
        <w:rPr>
          <w:rFonts w:ascii="Arial" w:eastAsia="Times New Roman" w:hAnsi="Arial" w:cs="Arial"/>
          <w:sz w:val="20"/>
          <w:szCs w:val="20"/>
          <w:lang w:eastAsia="fr-BE"/>
        </w:rPr>
        <w:t>Le prix pour cet article comprend le chargement, le transport ainsi que les droits de dossier de notification du mouvement des terres (conformément à l</w:t>
      </w:r>
      <w:proofErr w:type="gramStart"/>
      <w:r w:rsidRPr="00BB4D0C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Pr="00BB4D0C">
        <w:rPr>
          <w:rFonts w:ascii="Arial" w:eastAsia="Times New Roman" w:hAnsi="Arial" w:cs="Arial"/>
          <w:sz w:val="20"/>
          <w:szCs w:val="20"/>
          <w:lang w:eastAsia="fr-BE"/>
        </w:rPr>
        <w:t>AGW 2018-07-05]), le déchargement au lieu de destination et la notification de réception des terres. Les types de destinations sont décrits à l'élément 07.32.</w:t>
      </w:r>
      <w:r w:rsidR="00AF0740" w:rsidRPr="00AF0740">
        <w:t xml:space="preserve"> </w:t>
      </w:r>
      <w:r w:rsidR="00AF0740" w:rsidRPr="00AF0740">
        <w:rPr>
          <w:rFonts w:ascii="Arial" w:eastAsia="Times New Roman" w:hAnsi="Arial" w:cs="Arial"/>
          <w:sz w:val="20"/>
          <w:szCs w:val="20"/>
          <w:lang w:eastAsia="fr-BE"/>
        </w:rPr>
        <w:t>Gestion des terres de type d'usage I à V</w:t>
      </w:r>
      <w:r>
        <w:rPr>
          <w:rFonts w:ascii="Arial" w:eastAsia="Times New Roman" w:hAnsi="Arial" w:cs="Arial"/>
          <w:sz w:val="20"/>
          <w:szCs w:val="20"/>
          <w:lang w:eastAsia="fr-BE"/>
        </w:rPr>
        <w:t> »</w:t>
      </w:r>
      <w:r w:rsidRPr="00E4491C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6C62E92C" w14:textId="77777777" w:rsidR="003A16B6" w:rsidRPr="00F34EF3" w:rsidRDefault="003A16B6" w:rsidP="00F34EF3">
      <w:pPr>
        <w:pStyle w:val="pheading"/>
      </w:pPr>
    </w:p>
    <w:p w14:paraId="6F2A7DF6" w14:textId="62CAAB9A" w:rsidR="00BE7A8B" w:rsidRPr="00DD4420" w:rsidRDefault="00F3058A" w:rsidP="00DD4420">
      <w:pPr>
        <w:pStyle w:val="Author-eSectionHeading5"/>
      </w:pPr>
      <w:r w:rsidRPr="00DD4420">
        <w:t>07.</w:t>
      </w:r>
      <w:r w:rsidR="003A16B6">
        <w:t>3</w:t>
      </w:r>
      <w:r w:rsidRPr="00DD4420">
        <w:t>2</w:t>
      </w:r>
      <w:r w:rsidR="00BE7A8B" w:rsidRPr="00DD4420">
        <w:t xml:space="preserve">.3. Gestion des terres de type d'usage </w:t>
      </w:r>
      <w:r w:rsidR="006C0FFD">
        <w:t>III</w:t>
      </w:r>
    </w:p>
    <w:p w14:paraId="00848814" w14:textId="500C6BD7" w:rsidR="00BE7A8B" w:rsidRPr="00DD4420" w:rsidRDefault="00F3058A" w:rsidP="00DD4420">
      <w:pPr>
        <w:pStyle w:val="Author-eSectionHeading6"/>
      </w:pPr>
      <w:r w:rsidRPr="00DD4420">
        <w:t>07.</w:t>
      </w:r>
      <w:r w:rsidR="003A16B6">
        <w:t>3</w:t>
      </w:r>
      <w:r w:rsidRPr="00DD4420">
        <w:t>2</w:t>
      </w:r>
      <w:r w:rsidR="00BE7A8B" w:rsidRPr="00DD4420">
        <w:t xml:space="preserve">.3b. Evacuation des terres de type d'usage </w:t>
      </w:r>
      <w:r w:rsidR="006C0FFD">
        <w:t>III</w:t>
      </w:r>
    </w:p>
    <w:p w14:paraId="776522FB" w14:textId="77777777" w:rsidR="00BE7A8B" w:rsidRPr="00DD4420" w:rsidRDefault="00BE7A8B" w:rsidP="00DD4420">
      <w:pPr>
        <w:pStyle w:val="pheading"/>
      </w:pPr>
      <w:r w:rsidRPr="00DD4420">
        <w:t>DESCRIPTION</w:t>
      </w:r>
    </w:p>
    <w:p w14:paraId="7DFBEE78" w14:textId="77777777" w:rsidR="00BE7A8B" w:rsidRPr="00F34EF3" w:rsidRDefault="00BE7A8B" w:rsidP="00F34EF3">
      <w:pPr>
        <w:pStyle w:val="pheading"/>
      </w:pPr>
      <w:r w:rsidRPr="00F34EF3">
        <w:t>- Définition / Comprend</w:t>
      </w:r>
    </w:p>
    <w:p w14:paraId="4E96F91B" w14:textId="77777777" w:rsidR="003A16B6" w:rsidRPr="00AD1460" w:rsidRDefault="003A16B6" w:rsidP="003A1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Dérogé</w:t>
      </w: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 comme suit :</w:t>
      </w:r>
    </w:p>
    <w:p w14:paraId="072A53C7" w14:textId="452D5DB0" w:rsidR="00BE7A8B" w:rsidRPr="00E4491C" w:rsidRDefault="003A16B6" w:rsidP="002B6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L</w:t>
      </w:r>
      <w:r>
        <w:rPr>
          <w:rFonts w:ascii="Arial" w:eastAsia="Times New Roman" w:hAnsi="Arial" w:cs="Arial"/>
          <w:sz w:val="20"/>
          <w:szCs w:val="20"/>
          <w:lang w:eastAsia="fr-BE"/>
        </w:rPr>
        <w:t>a disposition « </w:t>
      </w:r>
      <w:r w:rsidRPr="00BB4D0C">
        <w:rPr>
          <w:rFonts w:ascii="Arial" w:eastAsia="Times New Roman" w:hAnsi="Arial" w:cs="Arial"/>
          <w:sz w:val="20"/>
          <w:szCs w:val="20"/>
          <w:lang w:eastAsia="fr-BE"/>
        </w:rPr>
        <w:t>Le prix pour cet article comprend le chargement, le transport ainsi que les éventuels droits de dossier de notification du mouvement des terres (conformément à l</w:t>
      </w:r>
      <w:proofErr w:type="gramStart"/>
      <w:r w:rsidRPr="00BB4D0C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Pr="00BB4D0C">
        <w:rPr>
          <w:rFonts w:ascii="Arial" w:eastAsia="Times New Roman" w:hAnsi="Arial" w:cs="Arial"/>
          <w:sz w:val="20"/>
          <w:szCs w:val="20"/>
          <w:lang w:eastAsia="fr-BE"/>
        </w:rPr>
        <w:t>AGW 2018-07-05] et le déchargement au lieu de destination. Les types de destinations sont décrits à l'élément 07.32 Gestion des terres de type d'usage I à V</w:t>
      </w:r>
      <w:r>
        <w:rPr>
          <w:rFonts w:ascii="Arial" w:eastAsia="Times New Roman" w:hAnsi="Arial" w:cs="Arial"/>
          <w:sz w:val="20"/>
          <w:szCs w:val="20"/>
          <w:lang w:eastAsia="fr-BE"/>
        </w:rPr>
        <w:t> » est abrogée et remplacée par « </w:t>
      </w:r>
      <w:r w:rsidRPr="00BB4D0C">
        <w:rPr>
          <w:rFonts w:ascii="Arial" w:eastAsia="Times New Roman" w:hAnsi="Arial" w:cs="Arial"/>
          <w:sz w:val="20"/>
          <w:szCs w:val="20"/>
          <w:lang w:eastAsia="fr-BE"/>
        </w:rPr>
        <w:t>Le prix pour cet article comprend le chargement, le transport ainsi que les droits de dossier de notification du mouvement des terres (conformément à l</w:t>
      </w:r>
      <w:proofErr w:type="gramStart"/>
      <w:r w:rsidRPr="00BB4D0C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Pr="00BB4D0C">
        <w:rPr>
          <w:rFonts w:ascii="Arial" w:eastAsia="Times New Roman" w:hAnsi="Arial" w:cs="Arial"/>
          <w:sz w:val="20"/>
          <w:szCs w:val="20"/>
          <w:lang w:eastAsia="fr-BE"/>
        </w:rPr>
        <w:t>AGW 2018-07-05]), le déchargement au lieu de destination et la notification de réception des terres. Les types de destinations sont décrits à l'élément 07.32.</w:t>
      </w:r>
      <w:r w:rsidR="00AF0740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AF0740" w:rsidRPr="00AF0740">
        <w:rPr>
          <w:rFonts w:ascii="Arial" w:eastAsia="Times New Roman" w:hAnsi="Arial" w:cs="Arial"/>
          <w:sz w:val="20"/>
          <w:szCs w:val="20"/>
          <w:lang w:eastAsia="fr-BE"/>
        </w:rPr>
        <w:t>Gestion des terres de type d'usage I à V</w:t>
      </w:r>
      <w:r>
        <w:rPr>
          <w:rFonts w:ascii="Arial" w:eastAsia="Times New Roman" w:hAnsi="Arial" w:cs="Arial"/>
          <w:sz w:val="20"/>
          <w:szCs w:val="20"/>
          <w:lang w:eastAsia="fr-BE"/>
        </w:rPr>
        <w:t> »</w:t>
      </w:r>
      <w:r w:rsidRPr="00E4491C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1E423398" w14:textId="77777777" w:rsidR="00D879A5" w:rsidRDefault="00D879A5" w:rsidP="00DD4420">
      <w:pPr>
        <w:pStyle w:val="Author-eSectionHeading5"/>
      </w:pPr>
    </w:p>
    <w:p w14:paraId="095ED072" w14:textId="14B9280D" w:rsidR="00BE7A8B" w:rsidRPr="00DD4420" w:rsidRDefault="00F3058A" w:rsidP="00DD4420">
      <w:pPr>
        <w:pStyle w:val="Author-eSectionHeading5"/>
      </w:pPr>
      <w:r w:rsidRPr="00DD4420">
        <w:t>07.</w:t>
      </w:r>
      <w:r w:rsidR="00E8716C">
        <w:t>3</w:t>
      </w:r>
      <w:r w:rsidRPr="00DD4420">
        <w:t>2</w:t>
      </w:r>
      <w:r w:rsidR="00BE7A8B" w:rsidRPr="00DD4420">
        <w:t xml:space="preserve">.4. Gestion des terres de type d'usage </w:t>
      </w:r>
      <w:r w:rsidR="006C0FFD">
        <w:t xml:space="preserve">IV </w:t>
      </w:r>
    </w:p>
    <w:p w14:paraId="4B9915C7" w14:textId="610CA3B2" w:rsidR="00BE7A8B" w:rsidRPr="00DD4420" w:rsidRDefault="00F3058A" w:rsidP="00DD4420">
      <w:pPr>
        <w:pStyle w:val="Author-eSectionHeading6"/>
      </w:pPr>
      <w:r w:rsidRPr="00DD4420">
        <w:t>07.</w:t>
      </w:r>
      <w:r w:rsidR="00E8716C">
        <w:t>3</w:t>
      </w:r>
      <w:r w:rsidRPr="00DD4420">
        <w:t>2</w:t>
      </w:r>
      <w:r w:rsidR="00BE7A8B" w:rsidRPr="00DD4420">
        <w:t xml:space="preserve">.4b. Evacuation des terres de type d'usage </w:t>
      </w:r>
      <w:r w:rsidR="006C0FFD">
        <w:t>IV</w:t>
      </w:r>
    </w:p>
    <w:p w14:paraId="4AE5444A" w14:textId="77777777" w:rsidR="00BE7A8B" w:rsidRPr="00DD4420" w:rsidRDefault="00BE7A8B" w:rsidP="00DD4420">
      <w:pPr>
        <w:pStyle w:val="pheading"/>
      </w:pPr>
      <w:r w:rsidRPr="00DD4420">
        <w:t>DESCRIPTION</w:t>
      </w:r>
    </w:p>
    <w:p w14:paraId="5879B248" w14:textId="77777777" w:rsidR="00BE7A8B" w:rsidRPr="00F34EF3" w:rsidRDefault="00BE7A8B" w:rsidP="00F34EF3">
      <w:pPr>
        <w:pStyle w:val="pheading"/>
      </w:pPr>
      <w:r w:rsidRPr="00F34EF3">
        <w:t>- Définition / Comprend</w:t>
      </w:r>
    </w:p>
    <w:p w14:paraId="512F7497" w14:textId="77777777" w:rsidR="00E8716C" w:rsidRPr="00AD1460" w:rsidRDefault="00E8716C" w:rsidP="00E871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Dérogé</w:t>
      </w: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 comme suit :</w:t>
      </w:r>
    </w:p>
    <w:p w14:paraId="16C35557" w14:textId="5FF10D59" w:rsidR="00BE7A8B" w:rsidRPr="00E4491C" w:rsidRDefault="00E8716C" w:rsidP="00C207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L</w:t>
      </w:r>
      <w:r>
        <w:rPr>
          <w:rFonts w:ascii="Arial" w:eastAsia="Times New Roman" w:hAnsi="Arial" w:cs="Arial"/>
          <w:sz w:val="20"/>
          <w:szCs w:val="20"/>
          <w:lang w:eastAsia="fr-BE"/>
        </w:rPr>
        <w:t>a disposition « </w:t>
      </w:r>
      <w:r w:rsidRPr="00BB4D0C">
        <w:rPr>
          <w:rFonts w:ascii="Arial" w:eastAsia="Times New Roman" w:hAnsi="Arial" w:cs="Arial"/>
          <w:sz w:val="20"/>
          <w:szCs w:val="20"/>
          <w:lang w:eastAsia="fr-BE"/>
        </w:rPr>
        <w:t>Le prix pour cet article comprend le chargement, le transport ainsi que les éventuels droits de dossier de notification du mouvement des terres (conformément à l</w:t>
      </w:r>
      <w:proofErr w:type="gramStart"/>
      <w:r w:rsidRPr="00BB4D0C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Pr="00BB4D0C">
        <w:rPr>
          <w:rFonts w:ascii="Arial" w:eastAsia="Times New Roman" w:hAnsi="Arial" w:cs="Arial"/>
          <w:sz w:val="20"/>
          <w:szCs w:val="20"/>
          <w:lang w:eastAsia="fr-BE"/>
        </w:rPr>
        <w:t>AGW 2018-07-05] et le déchargement au lieu de destination. Les types de destinations sont décrits à l'élément 07.32 Gestion des terres de type d'usage I à V</w:t>
      </w:r>
      <w:r>
        <w:rPr>
          <w:rFonts w:ascii="Arial" w:eastAsia="Times New Roman" w:hAnsi="Arial" w:cs="Arial"/>
          <w:sz w:val="20"/>
          <w:szCs w:val="20"/>
          <w:lang w:eastAsia="fr-BE"/>
        </w:rPr>
        <w:t> » est abrogée et remplacée par « </w:t>
      </w:r>
      <w:r w:rsidRPr="00BB4D0C">
        <w:rPr>
          <w:rFonts w:ascii="Arial" w:eastAsia="Times New Roman" w:hAnsi="Arial" w:cs="Arial"/>
          <w:sz w:val="20"/>
          <w:szCs w:val="20"/>
          <w:lang w:eastAsia="fr-BE"/>
        </w:rPr>
        <w:t>Le prix pour cet article comprend le chargement, le transport ainsi que les droits de dossier de notification du mouvement des terres (conformément à l</w:t>
      </w:r>
      <w:proofErr w:type="gramStart"/>
      <w:r w:rsidRPr="00BB4D0C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Pr="00BB4D0C">
        <w:rPr>
          <w:rFonts w:ascii="Arial" w:eastAsia="Times New Roman" w:hAnsi="Arial" w:cs="Arial"/>
          <w:sz w:val="20"/>
          <w:szCs w:val="20"/>
          <w:lang w:eastAsia="fr-BE"/>
        </w:rPr>
        <w:t>AGW 2018-07-05]), le déchargement au lieu de destination et la notification de réception des terres. Les types de destinations sont décrits à l'élément 07.32.</w:t>
      </w:r>
      <w:r w:rsidR="00AF0740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AF0740" w:rsidRPr="00AF0740">
        <w:rPr>
          <w:rFonts w:ascii="Arial" w:eastAsia="Times New Roman" w:hAnsi="Arial" w:cs="Arial"/>
          <w:sz w:val="20"/>
          <w:szCs w:val="20"/>
          <w:lang w:eastAsia="fr-BE"/>
        </w:rPr>
        <w:t>Gestion des terres de type d'usage I à V</w:t>
      </w:r>
      <w:r>
        <w:rPr>
          <w:rFonts w:ascii="Arial" w:eastAsia="Times New Roman" w:hAnsi="Arial" w:cs="Arial"/>
          <w:sz w:val="20"/>
          <w:szCs w:val="20"/>
          <w:lang w:eastAsia="fr-BE"/>
        </w:rPr>
        <w:t> »</w:t>
      </w:r>
      <w:r w:rsidR="00BE7A8B" w:rsidRPr="00E4491C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24F14CF5" w14:textId="77777777" w:rsidR="00D73A0B" w:rsidRDefault="00D73A0B" w:rsidP="00DD4420">
      <w:pPr>
        <w:pStyle w:val="Author-eSectionHeading5"/>
      </w:pPr>
    </w:p>
    <w:p w14:paraId="7D0B8E96" w14:textId="7AA19C2C" w:rsidR="00BE7A8B" w:rsidRPr="00DD4420" w:rsidRDefault="00F3058A" w:rsidP="00DD4420">
      <w:pPr>
        <w:pStyle w:val="Author-eSectionHeading5"/>
      </w:pPr>
      <w:r w:rsidRPr="00DD4420">
        <w:t>07.</w:t>
      </w:r>
      <w:r w:rsidR="00FB66FD">
        <w:t>3</w:t>
      </w:r>
      <w:r w:rsidRPr="00DD4420">
        <w:t>2</w:t>
      </w:r>
      <w:r w:rsidR="00BE7A8B" w:rsidRPr="00DD4420">
        <w:t xml:space="preserve">.5. Gestion des terres de type d'usage </w:t>
      </w:r>
      <w:r w:rsidR="006C0FFD">
        <w:t>V</w:t>
      </w:r>
    </w:p>
    <w:p w14:paraId="27A89DE6" w14:textId="70307B3B" w:rsidR="00BE7A8B" w:rsidRPr="00DD4420" w:rsidRDefault="00F3058A" w:rsidP="00DD4420">
      <w:pPr>
        <w:pStyle w:val="Author-eSectionHeading6"/>
      </w:pPr>
      <w:r w:rsidRPr="00DD4420">
        <w:t>07.</w:t>
      </w:r>
      <w:r w:rsidR="00FB66FD">
        <w:t>3</w:t>
      </w:r>
      <w:r w:rsidRPr="00DD4420">
        <w:t>2</w:t>
      </w:r>
      <w:r w:rsidR="00BE7A8B" w:rsidRPr="00DD4420">
        <w:t xml:space="preserve">.5b. Evacuation des terres de type d'usage </w:t>
      </w:r>
      <w:r w:rsidR="006C0FFD">
        <w:t>V</w:t>
      </w:r>
    </w:p>
    <w:p w14:paraId="0ABE457E" w14:textId="77777777" w:rsidR="00BE7A8B" w:rsidRPr="00DD4420" w:rsidRDefault="00BE7A8B" w:rsidP="00DD4420">
      <w:pPr>
        <w:pStyle w:val="pheading"/>
      </w:pPr>
      <w:r w:rsidRPr="00DD4420">
        <w:t>DESCRIPTION</w:t>
      </w:r>
    </w:p>
    <w:p w14:paraId="407CAA72" w14:textId="77777777" w:rsidR="00BE7A8B" w:rsidRPr="00F34EF3" w:rsidRDefault="00BE7A8B" w:rsidP="00F34EF3">
      <w:pPr>
        <w:pStyle w:val="pheading"/>
      </w:pPr>
      <w:r w:rsidRPr="00F34EF3">
        <w:t>- Définition / Comprend</w:t>
      </w:r>
    </w:p>
    <w:p w14:paraId="54E5F6DE" w14:textId="77777777" w:rsidR="00FB66FD" w:rsidRPr="00AD1460" w:rsidRDefault="00FB66FD" w:rsidP="00FB66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Dérogé</w:t>
      </w: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 comme suit :</w:t>
      </w:r>
    </w:p>
    <w:p w14:paraId="67977F00" w14:textId="50B337A6" w:rsidR="00BE7A8B" w:rsidRPr="00E4491C" w:rsidRDefault="00FB66FD" w:rsidP="00A73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L</w:t>
      </w:r>
      <w:r>
        <w:rPr>
          <w:rFonts w:ascii="Arial" w:eastAsia="Times New Roman" w:hAnsi="Arial" w:cs="Arial"/>
          <w:sz w:val="20"/>
          <w:szCs w:val="20"/>
          <w:lang w:eastAsia="fr-BE"/>
        </w:rPr>
        <w:t>a disposition « </w:t>
      </w:r>
      <w:r w:rsidRPr="00BB4D0C">
        <w:rPr>
          <w:rFonts w:ascii="Arial" w:eastAsia="Times New Roman" w:hAnsi="Arial" w:cs="Arial"/>
          <w:sz w:val="20"/>
          <w:szCs w:val="20"/>
          <w:lang w:eastAsia="fr-BE"/>
        </w:rPr>
        <w:t>Le prix pour cet article comprend le chargement, le transport ainsi que les éventuels droits de dossier de notification du mouvement des terres (conformément à l</w:t>
      </w:r>
      <w:proofErr w:type="gramStart"/>
      <w:r w:rsidRPr="00BB4D0C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Pr="00BB4D0C">
        <w:rPr>
          <w:rFonts w:ascii="Arial" w:eastAsia="Times New Roman" w:hAnsi="Arial" w:cs="Arial"/>
          <w:sz w:val="20"/>
          <w:szCs w:val="20"/>
          <w:lang w:eastAsia="fr-BE"/>
        </w:rPr>
        <w:t>AGW 2018-07-05] et le déchargement au lieu de destination. Les types de destinations sont décrits à l'élément 07.32 Gestion des terres de type d'usage I à V</w:t>
      </w:r>
      <w:r>
        <w:rPr>
          <w:rFonts w:ascii="Arial" w:eastAsia="Times New Roman" w:hAnsi="Arial" w:cs="Arial"/>
          <w:sz w:val="20"/>
          <w:szCs w:val="20"/>
          <w:lang w:eastAsia="fr-BE"/>
        </w:rPr>
        <w:t> » est abrogée et remplacée par « </w:t>
      </w:r>
      <w:r w:rsidRPr="00BB4D0C">
        <w:rPr>
          <w:rFonts w:ascii="Arial" w:eastAsia="Times New Roman" w:hAnsi="Arial" w:cs="Arial"/>
          <w:sz w:val="20"/>
          <w:szCs w:val="20"/>
          <w:lang w:eastAsia="fr-BE"/>
        </w:rPr>
        <w:t>Le prix pour cet article comprend le chargement, le transport ainsi que les droits de dossier de notification du mouvement des terres (conformément à l</w:t>
      </w:r>
      <w:proofErr w:type="gramStart"/>
      <w:r w:rsidRPr="00BB4D0C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Pr="00BB4D0C">
        <w:rPr>
          <w:rFonts w:ascii="Arial" w:eastAsia="Times New Roman" w:hAnsi="Arial" w:cs="Arial"/>
          <w:sz w:val="20"/>
          <w:szCs w:val="20"/>
          <w:lang w:eastAsia="fr-BE"/>
        </w:rPr>
        <w:t>AGW 2018-07-05]), le déchargement au lieu de destination et la notification de réception des terres. Les types de destinations sont décrits à l'élément 07.32</w:t>
      </w:r>
      <w:r w:rsidR="00AF0740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AF0740" w:rsidRPr="00AF0740">
        <w:rPr>
          <w:rFonts w:ascii="Arial" w:eastAsia="Times New Roman" w:hAnsi="Arial" w:cs="Arial"/>
          <w:sz w:val="20"/>
          <w:szCs w:val="20"/>
          <w:lang w:eastAsia="fr-BE"/>
        </w:rPr>
        <w:t>Gestion des terres de type d'usage I à V</w:t>
      </w:r>
      <w:r w:rsidRPr="00BB4D0C">
        <w:rPr>
          <w:rFonts w:ascii="Arial" w:eastAsia="Times New Roman" w:hAnsi="Arial" w:cs="Arial"/>
          <w:sz w:val="20"/>
          <w:szCs w:val="20"/>
          <w:lang w:eastAsia="fr-BE"/>
        </w:rPr>
        <w:t>.</w:t>
      </w:r>
      <w:r>
        <w:rPr>
          <w:rFonts w:ascii="Arial" w:eastAsia="Times New Roman" w:hAnsi="Arial" w:cs="Arial"/>
          <w:sz w:val="20"/>
          <w:szCs w:val="20"/>
          <w:lang w:eastAsia="fr-BE"/>
        </w:rPr>
        <w:t> »</w:t>
      </w:r>
      <w:r w:rsidRPr="00E4491C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57F01D4D" w14:textId="31A0F488" w:rsidR="00FD6291" w:rsidRDefault="00FD6291" w:rsidP="00DD4420">
      <w:pPr>
        <w:pStyle w:val="Author-eSectionHeading4"/>
        <w:rPr>
          <w:color w:val="FF0000"/>
          <w:sz w:val="24"/>
        </w:rPr>
      </w:pPr>
    </w:p>
    <w:p w14:paraId="63C4DCEE" w14:textId="53C346ED" w:rsidR="00FD6291" w:rsidRDefault="00FD6291" w:rsidP="00FD6291">
      <w:pPr>
        <w:pStyle w:val="Author-eSectionHeading5"/>
      </w:pPr>
      <w:r w:rsidRPr="00DD4420">
        <w:t>07.</w:t>
      </w:r>
      <w:r>
        <w:t>3</w:t>
      </w:r>
      <w:r w:rsidRPr="00DD4420">
        <w:t>2.</w:t>
      </w:r>
      <w:r>
        <w:t>9</w:t>
      </w:r>
      <w:r w:rsidRPr="00DD4420">
        <w:t xml:space="preserve">. Gestion des terres </w:t>
      </w:r>
      <w:r>
        <w:t>sans analyse préalable</w:t>
      </w:r>
    </w:p>
    <w:p w14:paraId="27398174" w14:textId="77777777" w:rsidR="00B80C69" w:rsidRPr="00DD4420" w:rsidRDefault="00B80C69" w:rsidP="00B80C69">
      <w:pPr>
        <w:pStyle w:val="pheading"/>
      </w:pPr>
      <w:r w:rsidRPr="00DD4420">
        <w:t>DESCRIPTION</w:t>
      </w:r>
    </w:p>
    <w:p w14:paraId="64280233" w14:textId="77777777" w:rsidR="00B80C69" w:rsidRPr="00F34EF3" w:rsidRDefault="00B80C69" w:rsidP="00B80C69">
      <w:pPr>
        <w:pStyle w:val="pheading"/>
      </w:pPr>
      <w:r w:rsidRPr="00F34EF3">
        <w:t>- Définition / Comprend</w:t>
      </w:r>
    </w:p>
    <w:p w14:paraId="33445FB6" w14:textId="77777777" w:rsidR="00B80C69" w:rsidRPr="00AD1460" w:rsidRDefault="00B80C69" w:rsidP="00B80C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3C3133FD" w14:textId="77777777" w:rsidR="00133950" w:rsidRPr="00133950" w:rsidRDefault="00133950" w:rsidP="001339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133950">
        <w:rPr>
          <w:rFonts w:ascii="Arial" w:eastAsia="Times New Roman" w:hAnsi="Arial" w:cs="Arial"/>
          <w:sz w:val="20"/>
          <w:szCs w:val="20"/>
          <w:lang w:eastAsia="fr-BE"/>
        </w:rPr>
        <w:t xml:space="preserve">Les terres concernées par cette catégorie sont les terres qui n'ont pas fait d'analyses préalablement au lancement du marché. </w:t>
      </w:r>
    </w:p>
    <w:p w14:paraId="05732DBF" w14:textId="6ABEC511" w:rsidR="00B80C69" w:rsidRPr="00E4491C" w:rsidRDefault="00133950" w:rsidP="001339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133950">
        <w:rPr>
          <w:rFonts w:ascii="Arial" w:eastAsia="Times New Roman" w:hAnsi="Arial" w:cs="Arial"/>
          <w:sz w:val="20"/>
          <w:szCs w:val="20"/>
          <w:lang w:eastAsia="fr-BE"/>
        </w:rPr>
        <w:t>Le prix pour cet article comprend le chargement, le transport ainsi que les droits de dossier de notification du mouvement des terres (conformément à l</w:t>
      </w:r>
      <w:proofErr w:type="gramStart"/>
      <w:r w:rsidRPr="00133950">
        <w:rPr>
          <w:rFonts w:ascii="Arial" w:eastAsia="Times New Roman" w:hAnsi="Arial" w:cs="Arial"/>
          <w:sz w:val="20"/>
          <w:szCs w:val="20"/>
          <w:lang w:eastAsia="fr-BE"/>
        </w:rPr>
        <w:t>'</w:t>
      </w:r>
      <w:r w:rsidR="00AF0740">
        <w:rPr>
          <w:rFonts w:ascii="Arial" w:eastAsia="Times New Roman" w:hAnsi="Arial" w:cs="Arial"/>
          <w:sz w:val="20"/>
          <w:szCs w:val="20"/>
          <w:lang w:eastAsia="fr-BE"/>
        </w:rPr>
        <w:t>[</w:t>
      </w:r>
      <w:proofErr w:type="gramEnd"/>
      <w:r w:rsidRPr="00133950">
        <w:rPr>
          <w:rFonts w:ascii="Arial" w:eastAsia="Times New Roman" w:hAnsi="Arial" w:cs="Arial"/>
          <w:sz w:val="20"/>
          <w:szCs w:val="20"/>
          <w:lang w:eastAsia="fr-BE"/>
        </w:rPr>
        <w:t>AGW 2018</w:t>
      </w:r>
      <w:r w:rsidR="00AF0740">
        <w:rPr>
          <w:rFonts w:ascii="Arial" w:eastAsia="Times New Roman" w:hAnsi="Arial" w:cs="Arial"/>
          <w:sz w:val="20"/>
          <w:szCs w:val="20"/>
          <w:lang w:eastAsia="fr-BE"/>
        </w:rPr>
        <w:t>-07-05]</w:t>
      </w:r>
      <w:r w:rsidRPr="00133950">
        <w:rPr>
          <w:rFonts w:ascii="Arial" w:eastAsia="Times New Roman" w:hAnsi="Arial" w:cs="Arial"/>
          <w:sz w:val="20"/>
          <w:szCs w:val="20"/>
          <w:lang w:eastAsia="fr-BE"/>
        </w:rPr>
        <w:t>), le déchargement au lieu de destination et la notification de réception des terres. La destination ne pourra être qu'une installation autorisée au sens de l</w:t>
      </w:r>
      <w:proofErr w:type="gramStart"/>
      <w:r w:rsidRPr="00133950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Pr="00133950">
        <w:rPr>
          <w:rFonts w:ascii="Arial" w:eastAsia="Times New Roman" w:hAnsi="Arial" w:cs="Arial"/>
          <w:sz w:val="20"/>
          <w:szCs w:val="20"/>
          <w:lang w:eastAsia="fr-BE"/>
        </w:rPr>
        <w:t>AGW 2018-07-05]</w:t>
      </w:r>
      <w:r w:rsidR="00B80C69" w:rsidRPr="00E4491C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3A7042A3" w14:textId="77777777" w:rsidR="00B80C69" w:rsidRPr="00DD4420" w:rsidRDefault="00B80C69" w:rsidP="00FD6291">
      <w:pPr>
        <w:pStyle w:val="Author-eSectionHeading5"/>
      </w:pPr>
    </w:p>
    <w:p w14:paraId="427814CB" w14:textId="41DCA6F6" w:rsidR="00FD6291" w:rsidRPr="00DD4420" w:rsidRDefault="00FD6291" w:rsidP="00FD6291">
      <w:pPr>
        <w:pStyle w:val="Author-eSectionHeading6"/>
      </w:pPr>
      <w:r w:rsidRPr="00DD4420">
        <w:t>07.</w:t>
      </w:r>
      <w:r>
        <w:t>3</w:t>
      </w:r>
      <w:r w:rsidRPr="00DD4420">
        <w:t>2.</w:t>
      </w:r>
      <w:r>
        <w:t>9a</w:t>
      </w:r>
      <w:r w:rsidRPr="00DD4420">
        <w:t xml:space="preserve">. Evacuation des terres </w:t>
      </w:r>
      <w:r>
        <w:t>sans analyse préalable</w:t>
      </w:r>
    </w:p>
    <w:p w14:paraId="12DE47EF" w14:textId="77777777" w:rsidR="00133950" w:rsidRPr="00DD4420" w:rsidRDefault="00133950" w:rsidP="00133950">
      <w:pPr>
        <w:pStyle w:val="pheading"/>
      </w:pPr>
      <w:r w:rsidRPr="00DD4420">
        <w:t>DESCRIPTION</w:t>
      </w:r>
    </w:p>
    <w:p w14:paraId="747A55AA" w14:textId="77777777" w:rsidR="00133950" w:rsidRPr="00F34EF3" w:rsidRDefault="00133950" w:rsidP="00133950">
      <w:pPr>
        <w:pStyle w:val="pheading"/>
      </w:pPr>
      <w:r w:rsidRPr="00F34EF3">
        <w:t>- Définition / Comprend</w:t>
      </w:r>
    </w:p>
    <w:p w14:paraId="143563A8" w14:textId="77777777" w:rsidR="00133950" w:rsidRPr="00AD1460" w:rsidRDefault="00133950" w:rsidP="001339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02520C5B" w14:textId="77777777" w:rsidR="00DD74B5" w:rsidRPr="00DD74B5" w:rsidRDefault="00DD74B5" w:rsidP="00DD74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DD74B5">
        <w:rPr>
          <w:rFonts w:ascii="Arial" w:eastAsia="Times New Roman" w:hAnsi="Arial" w:cs="Arial"/>
          <w:sz w:val="20"/>
          <w:szCs w:val="20"/>
          <w:lang w:eastAsia="fr-BE"/>
        </w:rPr>
        <w:t xml:space="preserve">Les terres concernées par cette catégorie sont les terres qui n'ont pas fait d'analyses préalablement au lancement du marché. </w:t>
      </w:r>
    </w:p>
    <w:p w14:paraId="3B557136" w14:textId="16CD25BC" w:rsidR="00133950" w:rsidRPr="00E4491C" w:rsidRDefault="00DD74B5" w:rsidP="00DD74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DD74B5">
        <w:rPr>
          <w:rFonts w:ascii="Arial" w:eastAsia="Times New Roman" w:hAnsi="Arial" w:cs="Arial"/>
          <w:sz w:val="20"/>
          <w:szCs w:val="20"/>
          <w:lang w:eastAsia="fr-BE"/>
        </w:rPr>
        <w:t>Le prix pour cet article comprend le chargement, le transport ainsi que les droits de dossier de notification du mouvement des terres (conformément à l</w:t>
      </w:r>
      <w:proofErr w:type="gramStart"/>
      <w:r w:rsidRPr="00DD74B5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Pr="00DD74B5">
        <w:rPr>
          <w:rFonts w:ascii="Arial" w:eastAsia="Times New Roman" w:hAnsi="Arial" w:cs="Arial"/>
          <w:sz w:val="20"/>
          <w:szCs w:val="20"/>
          <w:lang w:eastAsia="fr-BE"/>
        </w:rPr>
        <w:t>AGW 2018-07-05]), le déchargement au lieu de destination et la notification de réception des terres. La destination ne pourra être qu'une installation autorisée au sens de l</w:t>
      </w:r>
      <w:proofErr w:type="gramStart"/>
      <w:r w:rsidRPr="00DD74B5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Pr="00DD74B5">
        <w:rPr>
          <w:rFonts w:ascii="Arial" w:eastAsia="Times New Roman" w:hAnsi="Arial" w:cs="Arial"/>
          <w:sz w:val="20"/>
          <w:szCs w:val="20"/>
          <w:lang w:eastAsia="fr-BE"/>
        </w:rPr>
        <w:t>AGW 2018-07-05]</w:t>
      </w:r>
      <w:r w:rsidR="00133950" w:rsidRPr="00E4491C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605DEAEF" w14:textId="77777777" w:rsidR="00DD74B5" w:rsidRPr="00DD4420" w:rsidRDefault="00DD74B5" w:rsidP="00DD74B5">
      <w:pPr>
        <w:pStyle w:val="pheading"/>
      </w:pPr>
      <w:r w:rsidRPr="00DD4420">
        <w:t>MESURAGE</w:t>
      </w:r>
    </w:p>
    <w:p w14:paraId="0E0ACFCF" w14:textId="77777777" w:rsidR="00DD74B5" w:rsidRPr="00F34EF3" w:rsidRDefault="00DD74B5" w:rsidP="00DD74B5">
      <w:pPr>
        <w:pStyle w:val="pheading"/>
      </w:pPr>
      <w:r w:rsidRPr="00F34EF3">
        <w:t xml:space="preserve">- unité de </w:t>
      </w:r>
      <w:proofErr w:type="gramStart"/>
      <w:r w:rsidRPr="00F34EF3">
        <w:t>mesure:</w:t>
      </w:r>
      <w:proofErr w:type="gramEnd"/>
    </w:p>
    <w:p w14:paraId="4FD2EAC6" w14:textId="77777777" w:rsidR="00DD74B5" w:rsidRPr="00AD1460" w:rsidRDefault="00DD74B5" w:rsidP="00DD74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69859F12" w14:textId="77777777" w:rsidR="00DD74B5" w:rsidRPr="00E4491C" w:rsidRDefault="00DD74B5" w:rsidP="00DD74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proofErr w:type="gramStart"/>
      <w:r w:rsidRPr="00A731B2">
        <w:rPr>
          <w:rStyle w:val="optioncarChar"/>
        </w:rPr>
        <w:t>t</w:t>
      </w:r>
      <w:proofErr w:type="gramEnd"/>
      <w:r w:rsidRPr="00A731B2">
        <w:rPr>
          <w:rStyle w:val="optioncarChar"/>
        </w:rPr>
        <w:t xml:space="preserve"> </w:t>
      </w:r>
      <w:r w:rsidRPr="00E4491C">
        <w:rPr>
          <w:rFonts w:ascii="Arial" w:eastAsia="Times New Roman" w:hAnsi="Arial" w:cs="Arial"/>
          <w:sz w:val="20"/>
          <w:szCs w:val="20"/>
          <w:lang w:eastAsia="fr-BE"/>
        </w:rPr>
        <w:t xml:space="preserve">(par défaut) </w:t>
      </w:r>
      <w:r w:rsidRPr="00A731B2">
        <w:rPr>
          <w:rStyle w:val="optioncarChar"/>
        </w:rPr>
        <w:t>/ m³</w:t>
      </w:r>
    </w:p>
    <w:p w14:paraId="46345A05" w14:textId="77777777" w:rsidR="00DD74B5" w:rsidRPr="00A731B2" w:rsidRDefault="00DD74B5" w:rsidP="00DD74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lang w:eastAsia="fr-BE"/>
        </w:rPr>
      </w:pPr>
      <w:r w:rsidRPr="00A731B2">
        <w:rPr>
          <w:rFonts w:ascii="Arial" w:eastAsia="Times New Roman" w:hAnsi="Arial" w:cs="Arial"/>
          <w:b/>
          <w:sz w:val="20"/>
          <w:szCs w:val="20"/>
          <w:lang w:eastAsia="fr-BE"/>
        </w:rPr>
        <w:t>(</w:t>
      </w:r>
      <w:proofErr w:type="gramStart"/>
      <w:r w:rsidRPr="00A731B2">
        <w:rPr>
          <w:rFonts w:ascii="Arial" w:eastAsia="Times New Roman" w:hAnsi="Arial" w:cs="Arial"/>
          <w:b/>
          <w:sz w:val="20"/>
          <w:szCs w:val="20"/>
          <w:lang w:eastAsia="fr-BE"/>
        </w:rPr>
        <w:t>soit</w:t>
      </w:r>
      <w:proofErr w:type="gramEnd"/>
      <w:r w:rsidRPr="00A731B2">
        <w:rPr>
          <w:rFonts w:ascii="Arial" w:eastAsia="Times New Roman" w:hAnsi="Arial" w:cs="Arial"/>
          <w:b/>
          <w:sz w:val="20"/>
          <w:szCs w:val="20"/>
          <w:lang w:eastAsia="fr-BE"/>
        </w:rPr>
        <w:t xml:space="preserve"> par défaut)</w:t>
      </w:r>
    </w:p>
    <w:p w14:paraId="616E3B8B" w14:textId="77777777" w:rsidR="00DD74B5" w:rsidRPr="00E4491C" w:rsidRDefault="00DD74B5" w:rsidP="00DD74B5">
      <w:pPr>
        <w:pStyle w:val="soi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fr-BE"/>
        </w:rPr>
      </w:pPr>
      <w:r w:rsidRPr="00E4491C">
        <w:rPr>
          <w:lang w:eastAsia="fr-BE"/>
        </w:rPr>
        <w:t>1. t</w:t>
      </w:r>
    </w:p>
    <w:p w14:paraId="5CEF3982" w14:textId="77777777" w:rsidR="00DD74B5" w:rsidRPr="00A731B2" w:rsidRDefault="00DD74B5" w:rsidP="00DD74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lang w:eastAsia="fr-BE"/>
        </w:rPr>
      </w:pPr>
      <w:r w:rsidRPr="00A731B2">
        <w:rPr>
          <w:rFonts w:ascii="Arial" w:eastAsia="Times New Roman" w:hAnsi="Arial" w:cs="Arial"/>
          <w:b/>
          <w:sz w:val="20"/>
          <w:szCs w:val="20"/>
          <w:lang w:eastAsia="fr-BE"/>
        </w:rPr>
        <w:t>(</w:t>
      </w:r>
      <w:proofErr w:type="gramStart"/>
      <w:r w:rsidRPr="00A731B2">
        <w:rPr>
          <w:rFonts w:ascii="Arial" w:eastAsia="Times New Roman" w:hAnsi="Arial" w:cs="Arial"/>
          <w:b/>
          <w:sz w:val="20"/>
          <w:szCs w:val="20"/>
          <w:lang w:eastAsia="fr-BE"/>
        </w:rPr>
        <w:t>soit</w:t>
      </w:r>
      <w:proofErr w:type="gramEnd"/>
      <w:r w:rsidRPr="00A731B2">
        <w:rPr>
          <w:rFonts w:ascii="Arial" w:eastAsia="Times New Roman" w:hAnsi="Arial" w:cs="Arial"/>
          <w:b/>
          <w:sz w:val="20"/>
          <w:szCs w:val="20"/>
          <w:lang w:eastAsia="fr-BE"/>
        </w:rPr>
        <w:t>)</w:t>
      </w:r>
    </w:p>
    <w:p w14:paraId="607E0D49" w14:textId="77777777" w:rsidR="00DD74B5" w:rsidRPr="00E4491C" w:rsidRDefault="00DD74B5" w:rsidP="00DD74B5">
      <w:pPr>
        <w:pStyle w:val="soi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fr-BE"/>
        </w:rPr>
      </w:pPr>
      <w:r w:rsidRPr="00E4491C">
        <w:rPr>
          <w:lang w:eastAsia="fr-BE"/>
        </w:rPr>
        <w:t>2. m³</w:t>
      </w:r>
    </w:p>
    <w:p w14:paraId="5ED09A49" w14:textId="77777777" w:rsidR="00DD74B5" w:rsidRPr="00F34EF3" w:rsidRDefault="00DD74B5" w:rsidP="00DD74B5">
      <w:pPr>
        <w:pStyle w:val="pheading"/>
      </w:pPr>
      <w:r w:rsidRPr="00F34EF3">
        <w:t xml:space="preserve">- code de </w:t>
      </w:r>
      <w:proofErr w:type="gramStart"/>
      <w:r w:rsidRPr="00F34EF3">
        <w:t>mesurage:</w:t>
      </w:r>
      <w:proofErr w:type="gramEnd"/>
    </w:p>
    <w:p w14:paraId="03BBCA86" w14:textId="77777777" w:rsidR="00DD74B5" w:rsidRPr="00AD1460" w:rsidRDefault="00DD74B5" w:rsidP="00DD74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56552EA6" w14:textId="77777777" w:rsidR="00DD74B5" w:rsidRPr="00E4491C" w:rsidRDefault="00DD74B5" w:rsidP="00DD74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Le paiement s'effectue au prix du poste sur base de la quantité renseignée sur les bordereaux de réception ou les factures délivrés par le destinataire, ou à défaut sur les bons de transport signés par le destinataire.</w:t>
      </w:r>
    </w:p>
    <w:p w14:paraId="1CEB8A72" w14:textId="77777777" w:rsidR="00DD74B5" w:rsidRPr="00E4491C" w:rsidRDefault="00DD74B5" w:rsidP="00DD74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Quantité renseignée sur les bordereaux de réception ou les factures délivrés par le destinataire.</w:t>
      </w:r>
    </w:p>
    <w:p w14:paraId="132AFFB9" w14:textId="77777777" w:rsidR="00DD74B5" w:rsidRPr="00E4491C" w:rsidRDefault="00DD74B5" w:rsidP="00DD74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A731B2">
        <w:rPr>
          <w:rStyle w:val="optioncarChar"/>
        </w:rPr>
        <w:t>Quantité en tonne</w:t>
      </w:r>
      <w:r w:rsidRPr="00E4491C">
        <w:rPr>
          <w:rFonts w:ascii="Arial" w:eastAsia="Times New Roman" w:hAnsi="Arial" w:cs="Arial"/>
          <w:sz w:val="20"/>
          <w:szCs w:val="20"/>
          <w:lang w:eastAsia="fr-BE"/>
        </w:rPr>
        <w:t xml:space="preserve"> (par défaut) </w:t>
      </w:r>
      <w:r w:rsidRPr="00A731B2">
        <w:rPr>
          <w:rStyle w:val="optioncarChar"/>
        </w:rPr>
        <w:t>/ volume</w:t>
      </w:r>
    </w:p>
    <w:p w14:paraId="73A11A8B" w14:textId="77777777" w:rsidR="00DD74B5" w:rsidRPr="00A731B2" w:rsidRDefault="00DD74B5" w:rsidP="00DD74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lang w:eastAsia="fr-BE"/>
        </w:rPr>
      </w:pPr>
      <w:r w:rsidRPr="00A731B2">
        <w:rPr>
          <w:rFonts w:ascii="Arial" w:eastAsia="Times New Roman" w:hAnsi="Arial" w:cs="Arial"/>
          <w:b/>
          <w:sz w:val="20"/>
          <w:szCs w:val="20"/>
          <w:lang w:eastAsia="fr-BE"/>
        </w:rPr>
        <w:t>(</w:t>
      </w:r>
      <w:proofErr w:type="gramStart"/>
      <w:r w:rsidRPr="00A731B2">
        <w:rPr>
          <w:rFonts w:ascii="Arial" w:eastAsia="Times New Roman" w:hAnsi="Arial" w:cs="Arial"/>
          <w:b/>
          <w:sz w:val="20"/>
          <w:szCs w:val="20"/>
          <w:lang w:eastAsia="fr-BE"/>
        </w:rPr>
        <w:t>soit</w:t>
      </w:r>
      <w:proofErr w:type="gramEnd"/>
      <w:r w:rsidRPr="00A731B2">
        <w:rPr>
          <w:rFonts w:ascii="Arial" w:eastAsia="Times New Roman" w:hAnsi="Arial" w:cs="Arial"/>
          <w:b/>
          <w:sz w:val="20"/>
          <w:szCs w:val="20"/>
          <w:lang w:eastAsia="fr-BE"/>
        </w:rPr>
        <w:t xml:space="preserve"> par défaut)</w:t>
      </w:r>
    </w:p>
    <w:p w14:paraId="06844B7F" w14:textId="77777777" w:rsidR="00DD74B5" w:rsidRPr="00E4491C" w:rsidRDefault="00DD74B5" w:rsidP="00DD74B5">
      <w:pPr>
        <w:pStyle w:val="soi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fr-BE"/>
        </w:rPr>
      </w:pPr>
      <w:r w:rsidRPr="00E4491C">
        <w:rPr>
          <w:lang w:eastAsia="fr-BE"/>
        </w:rPr>
        <w:t xml:space="preserve">1. </w:t>
      </w:r>
      <w:r w:rsidRPr="00A731B2">
        <w:rPr>
          <w:u w:val="single"/>
          <w:lang w:eastAsia="fr-BE"/>
        </w:rPr>
        <w:t>quantité en tonnes</w:t>
      </w:r>
      <w:r w:rsidRPr="00E4491C">
        <w:rPr>
          <w:lang w:eastAsia="fr-BE"/>
        </w:rPr>
        <w:t xml:space="preserve"> mesurée par pesage à l'entrée du site/centre de destination</w:t>
      </w:r>
    </w:p>
    <w:p w14:paraId="1C510A80" w14:textId="77777777" w:rsidR="00DD74B5" w:rsidRPr="00A731B2" w:rsidRDefault="00DD74B5" w:rsidP="00DD74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lang w:eastAsia="fr-BE"/>
        </w:rPr>
      </w:pPr>
      <w:r w:rsidRPr="00A731B2">
        <w:rPr>
          <w:rFonts w:ascii="Arial" w:eastAsia="Times New Roman" w:hAnsi="Arial" w:cs="Arial"/>
          <w:b/>
          <w:sz w:val="20"/>
          <w:szCs w:val="20"/>
          <w:lang w:eastAsia="fr-BE"/>
        </w:rPr>
        <w:t>(</w:t>
      </w:r>
      <w:proofErr w:type="gramStart"/>
      <w:r w:rsidRPr="00A731B2">
        <w:rPr>
          <w:rFonts w:ascii="Arial" w:eastAsia="Times New Roman" w:hAnsi="Arial" w:cs="Arial"/>
          <w:b/>
          <w:sz w:val="20"/>
          <w:szCs w:val="20"/>
          <w:lang w:eastAsia="fr-BE"/>
        </w:rPr>
        <w:t>soit</w:t>
      </w:r>
      <w:proofErr w:type="gramEnd"/>
      <w:r w:rsidRPr="00A731B2">
        <w:rPr>
          <w:rFonts w:ascii="Arial" w:eastAsia="Times New Roman" w:hAnsi="Arial" w:cs="Arial"/>
          <w:b/>
          <w:sz w:val="20"/>
          <w:szCs w:val="20"/>
          <w:lang w:eastAsia="fr-BE"/>
        </w:rPr>
        <w:t>)</w:t>
      </w:r>
    </w:p>
    <w:p w14:paraId="6C0C8F4A" w14:textId="77777777" w:rsidR="00DD74B5" w:rsidRPr="00E4491C" w:rsidRDefault="00DD74B5" w:rsidP="00DD74B5">
      <w:pPr>
        <w:pStyle w:val="soi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fr-BE"/>
        </w:rPr>
      </w:pPr>
      <w:r w:rsidRPr="00E4491C">
        <w:rPr>
          <w:lang w:eastAsia="fr-BE"/>
        </w:rPr>
        <w:t xml:space="preserve">2. </w:t>
      </w:r>
      <w:r w:rsidRPr="00A731B2">
        <w:rPr>
          <w:u w:val="single"/>
          <w:lang w:eastAsia="fr-BE"/>
        </w:rPr>
        <w:t>volume</w:t>
      </w:r>
      <w:r w:rsidRPr="00E4491C">
        <w:rPr>
          <w:lang w:eastAsia="fr-BE"/>
        </w:rPr>
        <w:t xml:space="preserve"> mesuré selon les prescriptions du </w:t>
      </w:r>
      <w:r>
        <w:rPr>
          <w:lang w:eastAsia="fr-BE"/>
        </w:rPr>
        <w:t>[SPW ARNE GRGT]</w:t>
      </w:r>
    </w:p>
    <w:p w14:paraId="38E1EBF7" w14:textId="77777777" w:rsidR="00DD74B5" w:rsidRPr="00DD4420" w:rsidRDefault="00DD74B5" w:rsidP="00DD74B5">
      <w:pPr>
        <w:pStyle w:val="pheading"/>
      </w:pPr>
      <w:r w:rsidRPr="00DD4420">
        <w:t xml:space="preserve">- nature du </w:t>
      </w:r>
      <w:proofErr w:type="gramStart"/>
      <w:r w:rsidRPr="00DD4420">
        <w:t>marché:</w:t>
      </w:r>
      <w:proofErr w:type="gramEnd"/>
    </w:p>
    <w:p w14:paraId="4E2633BA" w14:textId="77777777" w:rsidR="00DD74B5" w:rsidRPr="00AD1460" w:rsidRDefault="00DD74B5" w:rsidP="00DD74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2A9B4DF9" w14:textId="77777777" w:rsidR="00DD74B5" w:rsidRDefault="00DD74B5" w:rsidP="00DD74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QP</w:t>
      </w:r>
    </w:p>
    <w:p w14:paraId="05210F8B" w14:textId="77777777" w:rsidR="00DD74B5" w:rsidRDefault="00DD74B5" w:rsidP="00DD4420">
      <w:pPr>
        <w:pStyle w:val="Author-eSectionHeading4"/>
      </w:pPr>
    </w:p>
    <w:p w14:paraId="1F3C2B8C" w14:textId="0C202D8C" w:rsidR="00776F29" w:rsidRPr="00DD4420" w:rsidRDefault="00776F29" w:rsidP="00776F29">
      <w:pPr>
        <w:pStyle w:val="Author-eSectionHeading6"/>
      </w:pPr>
      <w:r w:rsidRPr="00DD4420">
        <w:t>07.</w:t>
      </w:r>
      <w:r>
        <w:t>3</w:t>
      </w:r>
      <w:r w:rsidRPr="00DD4420">
        <w:t>2.</w:t>
      </w:r>
      <w:r>
        <w:t>9b</w:t>
      </w:r>
      <w:r w:rsidRPr="00DD4420">
        <w:t xml:space="preserve">. Evacuation des terres </w:t>
      </w:r>
      <w:r w:rsidR="004E2A66">
        <w:t>vers un centre d’enfouissement technique</w:t>
      </w:r>
    </w:p>
    <w:p w14:paraId="3440E6F7" w14:textId="77777777" w:rsidR="007628C7" w:rsidRPr="00DD4420" w:rsidRDefault="007628C7" w:rsidP="007628C7">
      <w:pPr>
        <w:pStyle w:val="pheading"/>
      </w:pPr>
      <w:r w:rsidRPr="00DD4420">
        <w:t>DESCRIPTION</w:t>
      </w:r>
    </w:p>
    <w:p w14:paraId="38E96401" w14:textId="77777777" w:rsidR="007628C7" w:rsidRPr="00F34EF3" w:rsidRDefault="007628C7" w:rsidP="007628C7">
      <w:pPr>
        <w:pStyle w:val="pheading"/>
      </w:pPr>
      <w:r w:rsidRPr="00F34EF3">
        <w:t>- Définition / Comprend</w:t>
      </w:r>
    </w:p>
    <w:p w14:paraId="6CAE3EC5" w14:textId="77777777" w:rsidR="007628C7" w:rsidRPr="00AD1460" w:rsidRDefault="007628C7" w:rsidP="00762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73AB058C" w14:textId="1E152F51" w:rsidR="007628C7" w:rsidRDefault="00442DCE" w:rsidP="00762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442DCE">
        <w:rPr>
          <w:rFonts w:ascii="Arial" w:eastAsia="Times New Roman" w:hAnsi="Arial" w:cs="Arial"/>
          <w:sz w:val="20"/>
          <w:szCs w:val="20"/>
          <w:lang w:eastAsia="fr-BE"/>
        </w:rPr>
        <w:t>Les terres concernées par cette catégorie sont les terres qui sont évacuées en centre d'enfouissement technique et qui ont fait l'objet d'analyses telles que reprises au 3.35.</w:t>
      </w:r>
    </w:p>
    <w:p w14:paraId="2DC4E6E8" w14:textId="530D06A2" w:rsidR="006F4C9C" w:rsidRPr="00DD74B5" w:rsidRDefault="006F4C9C" w:rsidP="00762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6F4C9C">
        <w:rPr>
          <w:rFonts w:ascii="Arial" w:eastAsia="Times New Roman" w:hAnsi="Arial" w:cs="Arial"/>
          <w:sz w:val="20"/>
          <w:szCs w:val="20"/>
          <w:lang w:eastAsia="fr-BE"/>
        </w:rPr>
        <w:t xml:space="preserve">Le prix pour ce poste comprend le chargement, le transport ainsi que les droits de dossier de notification du mouvement des terres (conformément à </w:t>
      </w:r>
      <w:r w:rsidRPr="00DD74B5">
        <w:rPr>
          <w:rFonts w:ascii="Arial" w:eastAsia="Times New Roman" w:hAnsi="Arial" w:cs="Arial"/>
          <w:sz w:val="20"/>
          <w:szCs w:val="20"/>
          <w:lang w:eastAsia="fr-BE"/>
        </w:rPr>
        <w:t>l</w:t>
      </w:r>
      <w:proofErr w:type="gramStart"/>
      <w:r w:rsidRPr="00DD74B5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Pr="00DD74B5">
        <w:rPr>
          <w:rFonts w:ascii="Arial" w:eastAsia="Times New Roman" w:hAnsi="Arial" w:cs="Arial"/>
          <w:sz w:val="20"/>
          <w:szCs w:val="20"/>
          <w:lang w:eastAsia="fr-BE"/>
        </w:rPr>
        <w:t>AGW 2018-07-05</w:t>
      </w:r>
      <w:r>
        <w:rPr>
          <w:rFonts w:ascii="Arial" w:eastAsia="Times New Roman" w:hAnsi="Arial" w:cs="Arial"/>
          <w:sz w:val="20"/>
          <w:szCs w:val="20"/>
          <w:lang w:eastAsia="fr-BE"/>
        </w:rPr>
        <w:t>]</w:t>
      </w:r>
      <w:r w:rsidRPr="006F4C9C">
        <w:rPr>
          <w:rFonts w:ascii="Arial" w:eastAsia="Times New Roman" w:hAnsi="Arial" w:cs="Arial"/>
          <w:sz w:val="20"/>
          <w:szCs w:val="20"/>
          <w:lang w:eastAsia="fr-BE"/>
        </w:rPr>
        <w:t>), le déchargement au lieu de destination et la notification de réception des terres</w:t>
      </w:r>
    </w:p>
    <w:p w14:paraId="175A3D7E" w14:textId="77777777" w:rsidR="007628C7" w:rsidRPr="00DD4420" w:rsidRDefault="007628C7" w:rsidP="007628C7">
      <w:pPr>
        <w:pStyle w:val="pheading"/>
      </w:pPr>
      <w:r w:rsidRPr="00DD4420">
        <w:t>MESURAGE</w:t>
      </w:r>
    </w:p>
    <w:p w14:paraId="7BF5DACB" w14:textId="77777777" w:rsidR="007628C7" w:rsidRPr="00F34EF3" w:rsidRDefault="007628C7" w:rsidP="007628C7">
      <w:pPr>
        <w:pStyle w:val="pheading"/>
      </w:pPr>
      <w:r w:rsidRPr="00F34EF3">
        <w:t xml:space="preserve">- unité de </w:t>
      </w:r>
      <w:proofErr w:type="gramStart"/>
      <w:r w:rsidRPr="00F34EF3">
        <w:t>mesure:</w:t>
      </w:r>
      <w:proofErr w:type="gramEnd"/>
    </w:p>
    <w:p w14:paraId="21D79DA7" w14:textId="77777777" w:rsidR="007628C7" w:rsidRPr="00AD1460" w:rsidRDefault="007628C7" w:rsidP="00762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7D2C4E94" w14:textId="32C0A529" w:rsidR="007628C7" w:rsidRPr="00E66FCE" w:rsidRDefault="007628C7" w:rsidP="00D73A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eastAsia="Times New Roman"/>
          <w:szCs w:val="20"/>
          <w:lang w:eastAsia="fr-BE"/>
        </w:rPr>
      </w:pPr>
      <w:proofErr w:type="gramStart"/>
      <w:r w:rsidRPr="00594C0D">
        <w:rPr>
          <w:rStyle w:val="optioncarChar"/>
          <w:color w:val="auto"/>
        </w:rPr>
        <w:t>t</w:t>
      </w:r>
      <w:proofErr w:type="gramEnd"/>
      <w:r w:rsidRPr="00594C0D">
        <w:rPr>
          <w:rStyle w:val="optioncarChar"/>
          <w:color w:val="auto"/>
        </w:rPr>
        <w:t xml:space="preserve"> </w:t>
      </w:r>
    </w:p>
    <w:p w14:paraId="27CF9128" w14:textId="77777777" w:rsidR="007628C7" w:rsidRPr="00F34EF3" w:rsidRDefault="007628C7" w:rsidP="007628C7">
      <w:pPr>
        <w:pStyle w:val="pheading"/>
      </w:pPr>
      <w:r w:rsidRPr="00F34EF3">
        <w:t xml:space="preserve">- code de </w:t>
      </w:r>
      <w:proofErr w:type="gramStart"/>
      <w:r w:rsidRPr="00F34EF3">
        <w:t>mesurage:</w:t>
      </w:r>
      <w:proofErr w:type="gramEnd"/>
    </w:p>
    <w:p w14:paraId="61007C14" w14:textId="77777777" w:rsidR="007628C7" w:rsidRPr="00AD1460" w:rsidRDefault="007628C7" w:rsidP="00762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6AA4EF38" w14:textId="77777777" w:rsidR="007628C7" w:rsidRPr="00E4491C" w:rsidRDefault="007628C7" w:rsidP="00762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Le paiement s'effectue au prix du poste sur base de la quantité renseignée sur les bordereaux de réception ou les factures délivrés par le destinataire, ou à défaut sur les bons de transport signés par le destinataire.</w:t>
      </w:r>
    </w:p>
    <w:p w14:paraId="547A1D05" w14:textId="77777777" w:rsidR="007628C7" w:rsidRPr="00E4491C" w:rsidRDefault="007628C7" w:rsidP="00762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Quantité renseignée sur les bordereaux de réception ou les factures délivrés par le destinataire.</w:t>
      </w:r>
    </w:p>
    <w:p w14:paraId="7152169F" w14:textId="448D54F6" w:rsidR="007628C7" w:rsidRPr="00E66FCE" w:rsidRDefault="007628C7" w:rsidP="00D73A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lang w:eastAsia="fr-BE"/>
        </w:rPr>
      </w:pPr>
      <w:r w:rsidRPr="00594C0D">
        <w:rPr>
          <w:rStyle w:val="optioncarChar"/>
          <w:color w:val="auto"/>
        </w:rPr>
        <w:t>Quantité en tonne</w:t>
      </w:r>
      <w:r w:rsidR="00F94001" w:rsidRPr="00594C0D">
        <w:rPr>
          <w:rStyle w:val="optioncarChar"/>
          <w:color w:val="auto"/>
        </w:rPr>
        <w:t xml:space="preserve"> mesurée par pesage à l’entrée du site/centre de destination</w:t>
      </w:r>
    </w:p>
    <w:p w14:paraId="753ACE84" w14:textId="77777777" w:rsidR="007628C7" w:rsidRPr="00DD4420" w:rsidRDefault="007628C7" w:rsidP="007628C7">
      <w:pPr>
        <w:pStyle w:val="pheading"/>
      </w:pPr>
      <w:r w:rsidRPr="00DD4420">
        <w:t xml:space="preserve">- nature du </w:t>
      </w:r>
      <w:proofErr w:type="gramStart"/>
      <w:r w:rsidRPr="00DD4420">
        <w:t>marché:</w:t>
      </w:r>
      <w:proofErr w:type="gramEnd"/>
    </w:p>
    <w:p w14:paraId="6C11886D" w14:textId="77777777" w:rsidR="007628C7" w:rsidRPr="00AD1460" w:rsidRDefault="007628C7" w:rsidP="00762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77AB9BC8" w14:textId="77777777" w:rsidR="007628C7" w:rsidRDefault="007628C7" w:rsidP="00762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QP</w:t>
      </w:r>
    </w:p>
    <w:p w14:paraId="6DC16BB2" w14:textId="38179B67" w:rsidR="00FB66FD" w:rsidRDefault="00FB66FD" w:rsidP="00DD4420">
      <w:pPr>
        <w:pStyle w:val="pheading"/>
      </w:pPr>
    </w:p>
    <w:p w14:paraId="12C2D8E6" w14:textId="38E3634F" w:rsidR="00BE7A8B" w:rsidRPr="00DD4420" w:rsidRDefault="00F3058A" w:rsidP="00DD4420">
      <w:pPr>
        <w:pStyle w:val="Author-eSectionHeading4"/>
      </w:pPr>
      <w:r w:rsidRPr="00DD4420">
        <w:t>07.</w:t>
      </w:r>
      <w:r w:rsidR="00FB66FD">
        <w:t>3</w:t>
      </w:r>
      <w:r w:rsidRPr="00DD4420">
        <w:t>3</w:t>
      </w:r>
      <w:r w:rsidR="00BE7A8B" w:rsidRPr="00DD4420">
        <w:t xml:space="preserve">. Gestion des terres au-delà du type d'usage </w:t>
      </w:r>
      <w:r w:rsidR="006C0FFD">
        <w:t>V</w:t>
      </w:r>
    </w:p>
    <w:p w14:paraId="5807A162" w14:textId="77777777" w:rsidR="00BE7A8B" w:rsidRPr="00DD4420" w:rsidRDefault="00BE7A8B" w:rsidP="00DD4420">
      <w:pPr>
        <w:pStyle w:val="pheading"/>
      </w:pPr>
      <w:r w:rsidRPr="00DD4420">
        <w:t>DESCRIPTION</w:t>
      </w:r>
    </w:p>
    <w:p w14:paraId="37C6FE6D" w14:textId="77777777" w:rsidR="00BE7A8B" w:rsidRPr="00F34EF3" w:rsidRDefault="00BE7A8B" w:rsidP="00F34EF3">
      <w:pPr>
        <w:pStyle w:val="pheading"/>
      </w:pPr>
      <w:r w:rsidRPr="00F34EF3">
        <w:t>- Définition / Comprend</w:t>
      </w:r>
    </w:p>
    <w:p w14:paraId="246F6E6C" w14:textId="0665A31F" w:rsidR="00E862E5" w:rsidRPr="00AD1460" w:rsidRDefault="00A56F28" w:rsidP="00E862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Dérogé </w:t>
      </w:r>
      <w:r w:rsidR="00E862E5"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comme suit :</w:t>
      </w:r>
    </w:p>
    <w:p w14:paraId="24561E1D" w14:textId="66B1DB14" w:rsidR="00BE7A8B" w:rsidRPr="00E4491C" w:rsidRDefault="00A56F28" w:rsidP="00E862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La disposition « </w:t>
      </w:r>
      <w:r w:rsidR="00BE7A8B" w:rsidRPr="00E4491C">
        <w:rPr>
          <w:rFonts w:ascii="Arial" w:eastAsia="Times New Roman" w:hAnsi="Arial" w:cs="Arial"/>
          <w:sz w:val="20"/>
          <w:szCs w:val="20"/>
          <w:lang w:eastAsia="fr-BE"/>
        </w:rPr>
        <w:t xml:space="preserve">Les terres excavées ne répondant pas aux normes applicables pour une valorisation en type d'usage </w:t>
      </w:r>
      <w:r w:rsidR="006C0FFD">
        <w:rPr>
          <w:rFonts w:ascii="Arial" w:eastAsia="Times New Roman" w:hAnsi="Arial" w:cs="Arial"/>
          <w:sz w:val="20"/>
          <w:szCs w:val="20"/>
          <w:lang w:eastAsia="fr-BE"/>
        </w:rPr>
        <w:t>I</w:t>
      </w:r>
      <w:r w:rsidR="00BE7A8B" w:rsidRPr="00E4491C">
        <w:rPr>
          <w:rFonts w:ascii="Arial" w:eastAsia="Times New Roman" w:hAnsi="Arial" w:cs="Arial"/>
          <w:sz w:val="20"/>
          <w:szCs w:val="20"/>
          <w:lang w:eastAsia="fr-BE"/>
        </w:rPr>
        <w:t xml:space="preserve"> à </w:t>
      </w:r>
      <w:r w:rsidR="006C0FFD">
        <w:rPr>
          <w:rFonts w:ascii="Arial" w:eastAsia="Times New Roman" w:hAnsi="Arial" w:cs="Arial"/>
          <w:sz w:val="20"/>
          <w:szCs w:val="20"/>
          <w:lang w:eastAsia="fr-BE"/>
        </w:rPr>
        <w:t>V</w:t>
      </w:r>
      <w:r w:rsidR="00BE7A8B" w:rsidRPr="00E4491C">
        <w:rPr>
          <w:rFonts w:ascii="Arial" w:eastAsia="Times New Roman" w:hAnsi="Arial" w:cs="Arial"/>
          <w:sz w:val="20"/>
          <w:szCs w:val="20"/>
          <w:lang w:eastAsia="fr-BE"/>
        </w:rPr>
        <w:t xml:space="preserve"> (terres </w:t>
      </w:r>
      <w:r w:rsidR="00E862E5">
        <w:rPr>
          <w:rFonts w:ascii="Arial" w:eastAsia="Times New Roman" w:hAnsi="Arial" w:cs="Arial"/>
          <w:sz w:val="20"/>
          <w:szCs w:val="20"/>
          <w:lang w:eastAsia="fr-BE"/>
        </w:rPr>
        <w:t xml:space="preserve">au-delà </w:t>
      </w:r>
      <w:r w:rsidR="00BE7A8B" w:rsidRPr="00E4491C">
        <w:rPr>
          <w:rFonts w:ascii="Arial" w:eastAsia="Times New Roman" w:hAnsi="Arial" w:cs="Arial"/>
          <w:sz w:val="20"/>
          <w:szCs w:val="20"/>
          <w:lang w:eastAsia="fr-BE"/>
        </w:rPr>
        <w:t xml:space="preserve">du type d'usage </w:t>
      </w:r>
      <w:r w:rsidR="006C0FFD">
        <w:rPr>
          <w:rFonts w:ascii="Arial" w:eastAsia="Times New Roman" w:hAnsi="Arial" w:cs="Arial"/>
          <w:sz w:val="20"/>
          <w:szCs w:val="20"/>
          <w:lang w:eastAsia="fr-BE"/>
        </w:rPr>
        <w:t>V</w:t>
      </w:r>
      <w:r w:rsidR="00BE7A8B" w:rsidRPr="00E4491C">
        <w:rPr>
          <w:rFonts w:ascii="Arial" w:eastAsia="Times New Roman" w:hAnsi="Arial" w:cs="Arial"/>
          <w:sz w:val="20"/>
          <w:szCs w:val="20"/>
          <w:lang w:eastAsia="fr-BE"/>
        </w:rPr>
        <w:t>) doivent être évacuées du site d'origine vers un centre de traitement autorisé, conformément à son permis, à accepter ces terres</w:t>
      </w:r>
      <w:r>
        <w:rPr>
          <w:rFonts w:ascii="Arial" w:eastAsia="Times New Roman" w:hAnsi="Arial" w:cs="Arial"/>
          <w:sz w:val="20"/>
          <w:szCs w:val="20"/>
          <w:lang w:eastAsia="fr-BE"/>
        </w:rPr>
        <w:t>. » est abrogée et remplacée par « </w:t>
      </w:r>
      <w:r w:rsidRPr="00E4491C">
        <w:rPr>
          <w:rFonts w:ascii="Arial" w:eastAsia="Times New Roman" w:hAnsi="Arial" w:cs="Arial"/>
          <w:sz w:val="20"/>
          <w:szCs w:val="20"/>
          <w:lang w:eastAsia="fr-BE"/>
        </w:rPr>
        <w:t xml:space="preserve">Les terres excavées ne répondant pas aux normes applicables pour une valorisation en type d'usage </w:t>
      </w:r>
      <w:r>
        <w:rPr>
          <w:rFonts w:ascii="Arial" w:eastAsia="Times New Roman" w:hAnsi="Arial" w:cs="Arial"/>
          <w:sz w:val="20"/>
          <w:szCs w:val="20"/>
          <w:lang w:eastAsia="fr-BE"/>
        </w:rPr>
        <w:t>I</w:t>
      </w:r>
      <w:r w:rsidRPr="00E4491C">
        <w:rPr>
          <w:rFonts w:ascii="Arial" w:eastAsia="Times New Roman" w:hAnsi="Arial" w:cs="Arial"/>
          <w:sz w:val="20"/>
          <w:szCs w:val="20"/>
          <w:lang w:eastAsia="fr-BE"/>
        </w:rPr>
        <w:t xml:space="preserve"> à </w:t>
      </w:r>
      <w:r>
        <w:rPr>
          <w:rFonts w:ascii="Arial" w:eastAsia="Times New Roman" w:hAnsi="Arial" w:cs="Arial"/>
          <w:sz w:val="20"/>
          <w:szCs w:val="20"/>
          <w:lang w:eastAsia="fr-BE"/>
        </w:rPr>
        <w:t>V</w:t>
      </w:r>
      <w:r w:rsidRPr="00E4491C">
        <w:rPr>
          <w:rFonts w:ascii="Arial" w:eastAsia="Times New Roman" w:hAnsi="Arial" w:cs="Arial"/>
          <w:sz w:val="20"/>
          <w:szCs w:val="20"/>
          <w:lang w:eastAsia="fr-BE"/>
        </w:rPr>
        <w:t xml:space="preserve"> (terres 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au-delà </w:t>
      </w:r>
      <w:r w:rsidRPr="00E4491C">
        <w:rPr>
          <w:rFonts w:ascii="Arial" w:eastAsia="Times New Roman" w:hAnsi="Arial" w:cs="Arial"/>
          <w:sz w:val="20"/>
          <w:szCs w:val="20"/>
          <w:lang w:eastAsia="fr-BE"/>
        </w:rPr>
        <w:t xml:space="preserve">du type d'usage </w:t>
      </w:r>
      <w:r>
        <w:rPr>
          <w:rFonts w:ascii="Arial" w:eastAsia="Times New Roman" w:hAnsi="Arial" w:cs="Arial"/>
          <w:sz w:val="20"/>
          <w:szCs w:val="20"/>
          <w:lang w:eastAsia="fr-BE"/>
        </w:rPr>
        <w:t>V</w:t>
      </w:r>
      <w:r w:rsidRPr="00E4491C">
        <w:rPr>
          <w:rFonts w:ascii="Arial" w:eastAsia="Times New Roman" w:hAnsi="Arial" w:cs="Arial"/>
          <w:sz w:val="20"/>
          <w:szCs w:val="20"/>
          <w:lang w:eastAsia="fr-BE"/>
        </w:rPr>
        <w:t>) doivent être évacuées du site d'origine vers un centre de traitement autorisé, conformément à son permis, à accepter ces terres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 ou vers un centre d’enfouissement technique sous réserve que ces terres respectent les critères d’entrée du centre ».</w:t>
      </w:r>
    </w:p>
    <w:p w14:paraId="32879638" w14:textId="77777777" w:rsidR="00D879A5" w:rsidRDefault="00D879A5" w:rsidP="00DD4420">
      <w:pPr>
        <w:pStyle w:val="Author-eSectionHeading5"/>
      </w:pPr>
    </w:p>
    <w:p w14:paraId="280E90D3" w14:textId="2C757EA0" w:rsidR="00BE7A8B" w:rsidRPr="00DD4420" w:rsidRDefault="00F3058A" w:rsidP="00DD4420">
      <w:pPr>
        <w:pStyle w:val="Author-eSectionHeading5"/>
      </w:pPr>
      <w:r w:rsidRPr="00DD4420">
        <w:t>07.</w:t>
      </w:r>
      <w:r w:rsidR="0087592D">
        <w:t>3</w:t>
      </w:r>
      <w:r w:rsidRPr="00DD4420">
        <w:t>3</w:t>
      </w:r>
      <w:r w:rsidR="00BE7A8B" w:rsidRPr="00DD4420">
        <w:t>.1. Evacuation des terres au-delà du type d'usage</w:t>
      </w:r>
      <w:r w:rsidR="006C0FFD">
        <w:t xml:space="preserve"> V</w:t>
      </w:r>
      <w:r w:rsidR="00BE7A8B" w:rsidRPr="00DD4420">
        <w:t xml:space="preserve"> en centre de traitement autorisé</w:t>
      </w:r>
    </w:p>
    <w:p w14:paraId="51D6BB87" w14:textId="77777777" w:rsidR="00BE7A8B" w:rsidRPr="00DD4420" w:rsidRDefault="00BE7A8B" w:rsidP="00DD4420">
      <w:pPr>
        <w:pStyle w:val="pheading"/>
      </w:pPr>
      <w:r w:rsidRPr="00DD4420">
        <w:t>DESCRIPTION</w:t>
      </w:r>
    </w:p>
    <w:p w14:paraId="35E511D2" w14:textId="77777777" w:rsidR="00BE7A8B" w:rsidRPr="00F34EF3" w:rsidRDefault="00BE7A8B" w:rsidP="00F34EF3">
      <w:pPr>
        <w:pStyle w:val="pheading"/>
      </w:pPr>
      <w:r w:rsidRPr="00F34EF3">
        <w:t>- Définition / Comprend</w:t>
      </w:r>
    </w:p>
    <w:p w14:paraId="2105ECFB" w14:textId="77777777" w:rsidR="00E862E5" w:rsidRPr="00AD1460" w:rsidRDefault="00E862E5" w:rsidP="00A73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2FE96EB8" w14:textId="695B8347" w:rsidR="00BE7A8B" w:rsidRPr="00E4491C" w:rsidRDefault="007A73D3" w:rsidP="00A73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95628A">
        <w:rPr>
          <w:rFonts w:ascii="Arial" w:eastAsia="Times New Roman" w:hAnsi="Arial" w:cs="Arial"/>
          <w:sz w:val="20"/>
          <w:szCs w:val="20"/>
          <w:lang w:eastAsia="fr-BE"/>
        </w:rPr>
        <w:t xml:space="preserve">Ce titre s’applique à </w:t>
      </w:r>
      <w:r w:rsidR="006B3C01">
        <w:rPr>
          <w:rFonts w:ascii="Arial" w:eastAsia="Times New Roman" w:hAnsi="Arial" w:cs="Arial"/>
          <w:sz w:val="20"/>
          <w:szCs w:val="20"/>
          <w:lang w:eastAsia="fr-BE"/>
        </w:rPr>
        <w:t>l’évacuation des terres au-delà du type d’usage V en centre de traitement autorisé ou en centre d’enfouissement technique</w:t>
      </w:r>
      <w:r w:rsidR="00BE7A8B" w:rsidRPr="00E4491C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112321E8" w14:textId="77777777" w:rsidR="00BE7A8B" w:rsidRPr="00E4491C" w:rsidRDefault="00BE7A8B" w:rsidP="00E4491C">
      <w:pP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14:paraId="5CDB2ED5" w14:textId="15816415" w:rsidR="00BE7A8B" w:rsidRPr="00DD4420" w:rsidRDefault="00F3058A" w:rsidP="00DD4420">
      <w:pPr>
        <w:pStyle w:val="Author-eSectionHeading6"/>
      </w:pPr>
      <w:r w:rsidRPr="00DD4420">
        <w:t>07.</w:t>
      </w:r>
      <w:r w:rsidR="0087592D">
        <w:t>3</w:t>
      </w:r>
      <w:r w:rsidRPr="00DD4420">
        <w:t>3</w:t>
      </w:r>
      <w:r w:rsidR="00BE7A8B" w:rsidRPr="00DD4420">
        <w:t>.1</w:t>
      </w:r>
      <w:r w:rsidR="0087592D">
        <w:t>d</w:t>
      </w:r>
      <w:r w:rsidR="00BE7A8B" w:rsidRPr="00DD4420">
        <w:t xml:space="preserve">. Evacuation des terres au-delà du type d'usage </w:t>
      </w:r>
      <w:r w:rsidR="006C0FFD">
        <w:t>V</w:t>
      </w:r>
      <w:r w:rsidR="00BE7A8B" w:rsidRPr="00DD4420">
        <w:t xml:space="preserve"> en vue d'un</w:t>
      </w:r>
      <w:r w:rsidR="0087592D">
        <w:t>e élimination en centre d’enfouissement technique</w:t>
      </w:r>
    </w:p>
    <w:p w14:paraId="5FA092E5" w14:textId="77777777" w:rsidR="00BE7A8B" w:rsidRPr="00DD4420" w:rsidRDefault="00BE7A8B" w:rsidP="00DD4420">
      <w:pPr>
        <w:pStyle w:val="pheading"/>
      </w:pPr>
      <w:r w:rsidRPr="00DD4420">
        <w:t>DESCRIPTION</w:t>
      </w:r>
    </w:p>
    <w:p w14:paraId="2E303C26" w14:textId="77777777" w:rsidR="00BE7A8B" w:rsidRPr="00DD4420" w:rsidRDefault="00BE7A8B" w:rsidP="00DD4420">
      <w:pPr>
        <w:pStyle w:val="pheading"/>
      </w:pPr>
      <w:r w:rsidRPr="00DD4420">
        <w:t>- Définition / Comprend</w:t>
      </w:r>
    </w:p>
    <w:p w14:paraId="6FBE57ED" w14:textId="77777777" w:rsidR="00E862E5" w:rsidRPr="00AD1460" w:rsidRDefault="00E862E5" w:rsidP="00A73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0B80594C" w14:textId="2CC5FE9C" w:rsidR="00BE7A8B" w:rsidRPr="00E4491C" w:rsidRDefault="00BE7A8B" w:rsidP="00A73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 xml:space="preserve">Les terres concernées par cette catégorie sont les terres au-delà du type d'usage </w:t>
      </w:r>
      <w:r w:rsidR="006C0FFD">
        <w:rPr>
          <w:rFonts w:ascii="Arial" w:eastAsia="Times New Roman" w:hAnsi="Arial" w:cs="Arial"/>
          <w:sz w:val="20"/>
          <w:szCs w:val="20"/>
          <w:lang w:eastAsia="fr-BE"/>
        </w:rPr>
        <w:t>V</w:t>
      </w:r>
      <w:r w:rsidRPr="00E4491C">
        <w:rPr>
          <w:rFonts w:ascii="Arial" w:eastAsia="Times New Roman" w:hAnsi="Arial" w:cs="Arial"/>
          <w:sz w:val="20"/>
          <w:szCs w:val="20"/>
          <w:lang w:eastAsia="fr-BE"/>
        </w:rPr>
        <w:t xml:space="preserve"> qui sont évacuées du site d'origine vers </w:t>
      </w:r>
      <w:r w:rsidR="002E03CF">
        <w:rPr>
          <w:rFonts w:ascii="Arial" w:eastAsia="Times New Roman" w:hAnsi="Arial" w:cs="Arial"/>
          <w:sz w:val="20"/>
          <w:szCs w:val="20"/>
          <w:lang w:eastAsia="fr-BE"/>
        </w:rPr>
        <w:t>un centre d’enfouissement technique</w:t>
      </w:r>
      <w:r w:rsidRPr="00E4491C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55EE63C4" w14:textId="0EF7099B" w:rsidR="00BE7A8B" w:rsidRPr="00E4491C" w:rsidRDefault="00BE7A8B" w:rsidP="00A73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Le prix pour ce poste comprend le chargement, le transport ainsi que les éventuels droits de dossier de notification du mouvement des terres (conformément à l</w:t>
      </w:r>
      <w:proofErr w:type="gramStart"/>
      <w:r w:rsidRPr="00E4491C">
        <w:rPr>
          <w:rFonts w:ascii="Arial" w:eastAsia="Times New Roman" w:hAnsi="Arial" w:cs="Arial"/>
          <w:sz w:val="20"/>
          <w:szCs w:val="20"/>
          <w:lang w:eastAsia="fr-BE"/>
        </w:rPr>
        <w:t>'</w:t>
      </w:r>
      <w:r w:rsidR="00A731B2">
        <w:rPr>
          <w:rFonts w:ascii="Arial" w:eastAsia="Times New Roman" w:hAnsi="Arial" w:cs="Arial"/>
          <w:sz w:val="20"/>
          <w:szCs w:val="20"/>
          <w:lang w:eastAsia="fr-BE"/>
        </w:rPr>
        <w:t>[</w:t>
      </w:r>
      <w:proofErr w:type="gramEnd"/>
      <w:r w:rsidR="00A731B2" w:rsidRPr="00BD0CFB">
        <w:rPr>
          <w:rFonts w:ascii="Arial" w:eastAsia="Times New Roman" w:hAnsi="Arial" w:cs="Arial"/>
          <w:sz w:val="20"/>
          <w:szCs w:val="20"/>
          <w:lang w:eastAsia="fr-BE"/>
        </w:rPr>
        <w:t>AGW 2018-07-05</w:t>
      </w:r>
      <w:r w:rsidR="00101FF8">
        <w:rPr>
          <w:rFonts w:ascii="Arial" w:eastAsia="Times New Roman" w:hAnsi="Arial" w:cs="Arial"/>
          <w:sz w:val="20"/>
          <w:szCs w:val="20"/>
          <w:lang w:eastAsia="fr-BE"/>
        </w:rPr>
        <w:t>]</w:t>
      </w:r>
      <w:r w:rsidRPr="00E4491C">
        <w:rPr>
          <w:rFonts w:ascii="Arial" w:eastAsia="Times New Roman" w:hAnsi="Arial" w:cs="Arial"/>
          <w:sz w:val="20"/>
          <w:szCs w:val="20"/>
          <w:lang w:eastAsia="fr-BE"/>
        </w:rPr>
        <w:t>), le déchargement au lieu de destination.</w:t>
      </w:r>
    </w:p>
    <w:p w14:paraId="7851C185" w14:textId="77777777" w:rsidR="00BE7A8B" w:rsidRPr="00DD4420" w:rsidRDefault="00BE7A8B" w:rsidP="00DD4420">
      <w:pPr>
        <w:pStyle w:val="pheading"/>
      </w:pPr>
      <w:r w:rsidRPr="00DD4420">
        <w:t>MESURAGE</w:t>
      </w:r>
    </w:p>
    <w:p w14:paraId="737A04B3" w14:textId="77777777" w:rsidR="00BE7A8B" w:rsidRPr="00DD4420" w:rsidRDefault="00BE7A8B" w:rsidP="00DD4420">
      <w:pPr>
        <w:pStyle w:val="pheading"/>
      </w:pPr>
      <w:r w:rsidRPr="00DD4420">
        <w:t xml:space="preserve">- unité de </w:t>
      </w:r>
      <w:proofErr w:type="gramStart"/>
      <w:r w:rsidRPr="00DD4420">
        <w:t>mesure:</w:t>
      </w:r>
      <w:proofErr w:type="gramEnd"/>
    </w:p>
    <w:p w14:paraId="74400406" w14:textId="77777777" w:rsidR="00E862E5" w:rsidRPr="00AD1460" w:rsidRDefault="00E862E5" w:rsidP="00EE6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2B132AC2" w14:textId="529ED202" w:rsidR="00BE7A8B" w:rsidRPr="00E66FCE" w:rsidRDefault="00BE7A8B" w:rsidP="00EE6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proofErr w:type="gramStart"/>
      <w:r w:rsidRPr="00594C0D">
        <w:rPr>
          <w:rStyle w:val="optioncarChar"/>
          <w:color w:val="auto"/>
        </w:rPr>
        <w:t>t</w:t>
      </w:r>
      <w:proofErr w:type="gramEnd"/>
      <w:r w:rsidRPr="00E66FCE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</w:p>
    <w:p w14:paraId="5A76A16B" w14:textId="77777777" w:rsidR="00BE7A8B" w:rsidRPr="00DD4420" w:rsidRDefault="00BE7A8B" w:rsidP="00DD4420">
      <w:pPr>
        <w:pStyle w:val="pheading"/>
      </w:pPr>
      <w:r w:rsidRPr="00DD4420">
        <w:t xml:space="preserve">- code de </w:t>
      </w:r>
      <w:proofErr w:type="gramStart"/>
      <w:r w:rsidRPr="00DD4420">
        <w:t>mesurage:</w:t>
      </w:r>
      <w:proofErr w:type="gramEnd"/>
    </w:p>
    <w:p w14:paraId="56E74DCB" w14:textId="77777777" w:rsidR="00E862E5" w:rsidRPr="00AD1460" w:rsidRDefault="00E862E5" w:rsidP="00EE6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141B5F1D" w14:textId="77777777" w:rsidR="00BE7A8B" w:rsidRPr="00E4491C" w:rsidRDefault="00BE7A8B" w:rsidP="00EE6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Le paiement s'effectue au prix du poste sur base de la quantité renseignée sur les bordereaux de réception ou les factures délivrés par le destinataire, ou à défaut sur les bons de transport signés par le destinataire.</w:t>
      </w:r>
    </w:p>
    <w:p w14:paraId="791C9BD2" w14:textId="77777777" w:rsidR="00BE7A8B" w:rsidRPr="00E4491C" w:rsidRDefault="00BE7A8B" w:rsidP="00EE6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Quantité renseignée sur les bordereaux de réception ou les factures délivrés par le destinataire.</w:t>
      </w:r>
    </w:p>
    <w:p w14:paraId="4C778FFC" w14:textId="060B7AC2" w:rsidR="00BE7A8B" w:rsidRPr="00E66FCE" w:rsidRDefault="00EE6046" w:rsidP="00D73A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lang w:eastAsia="fr-BE"/>
        </w:rPr>
      </w:pPr>
      <w:r w:rsidRPr="00594C0D">
        <w:rPr>
          <w:rStyle w:val="optioncarChar"/>
          <w:color w:val="auto"/>
        </w:rPr>
        <w:t xml:space="preserve">Quantité </w:t>
      </w:r>
      <w:r w:rsidR="00BE7A8B" w:rsidRPr="00594C0D">
        <w:rPr>
          <w:rStyle w:val="optioncarChar"/>
          <w:color w:val="auto"/>
        </w:rPr>
        <w:t>en tonne</w:t>
      </w:r>
      <w:r w:rsidR="00BE7A8B" w:rsidRPr="00E66FCE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705813" w:rsidRPr="00E66FCE">
        <w:rPr>
          <w:rFonts w:ascii="Arial" w:eastAsia="Times New Roman" w:hAnsi="Arial" w:cs="Arial"/>
          <w:sz w:val="20"/>
          <w:szCs w:val="20"/>
          <w:lang w:eastAsia="fr-BE"/>
        </w:rPr>
        <w:t>mesurée par pesage à l’entrée du site/centre de destination</w:t>
      </w:r>
    </w:p>
    <w:p w14:paraId="21DBA152" w14:textId="77777777" w:rsidR="00BE7A8B" w:rsidRPr="00DD4420" w:rsidRDefault="00BE7A8B" w:rsidP="00DD4420">
      <w:pPr>
        <w:pStyle w:val="pheading"/>
      </w:pPr>
      <w:r w:rsidRPr="00DD4420">
        <w:t xml:space="preserve">- nature du </w:t>
      </w:r>
      <w:proofErr w:type="gramStart"/>
      <w:r w:rsidRPr="00DD4420">
        <w:t>marché:</w:t>
      </w:r>
      <w:proofErr w:type="gramEnd"/>
    </w:p>
    <w:p w14:paraId="02A04914" w14:textId="77777777" w:rsidR="00E862E5" w:rsidRPr="00AD1460" w:rsidRDefault="00E862E5" w:rsidP="00EE6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AD1460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01C89A6A" w14:textId="77777777" w:rsidR="00BE7A8B" w:rsidRDefault="00BE7A8B" w:rsidP="00EE6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4491C">
        <w:rPr>
          <w:rFonts w:ascii="Arial" w:eastAsia="Times New Roman" w:hAnsi="Arial" w:cs="Arial"/>
          <w:sz w:val="20"/>
          <w:szCs w:val="20"/>
          <w:lang w:eastAsia="fr-BE"/>
        </w:rPr>
        <w:t>QP</w:t>
      </w:r>
    </w:p>
    <w:p w14:paraId="78940B5C" w14:textId="77777777" w:rsidR="00C20713" w:rsidRPr="00E4491C" w:rsidRDefault="00C20713" w:rsidP="00E4491C">
      <w:pP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14:paraId="17D95FB4" w14:textId="77777777" w:rsidR="00431626" w:rsidRDefault="00431626" w:rsidP="00D73A0B">
      <w:pPr>
        <w:spacing w:before="100" w:after="100" w:line="260" w:lineRule="auto"/>
        <w:outlineLvl w:val="3"/>
      </w:pPr>
    </w:p>
    <w:sectPr w:rsidR="00431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70AE" w14:textId="77777777" w:rsidR="005145C1" w:rsidRDefault="005145C1" w:rsidP="00431626">
      <w:pPr>
        <w:spacing w:after="0" w:line="240" w:lineRule="auto"/>
      </w:pPr>
      <w:r>
        <w:separator/>
      </w:r>
    </w:p>
  </w:endnote>
  <w:endnote w:type="continuationSeparator" w:id="0">
    <w:p w14:paraId="17FAB6D8" w14:textId="77777777" w:rsidR="005145C1" w:rsidRDefault="005145C1" w:rsidP="0043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9B46" w14:textId="77777777" w:rsidR="00BF59B4" w:rsidRDefault="00BF59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F322" w14:textId="77777777" w:rsidR="00FE4063" w:rsidRDefault="00FE406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fr-FR"/>
      </w:rPr>
      <w:t>Page</w:t>
    </w:r>
    <w:r>
      <w:rPr>
        <w:color w:val="8496B0" w:themeColor="text2" w:themeTint="99"/>
        <w:sz w:val="24"/>
        <w:szCs w:val="24"/>
        <w:lang w:val="fr-FR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fr-FR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fr-FR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fr-FR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C57ADC4" w14:textId="77777777" w:rsidR="009C1434" w:rsidRDefault="009C143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3698" w14:textId="77777777" w:rsidR="00BF59B4" w:rsidRDefault="00BF59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9AB0" w14:textId="77777777" w:rsidR="005145C1" w:rsidRDefault="005145C1" w:rsidP="00431626">
      <w:pPr>
        <w:spacing w:after="0" w:line="240" w:lineRule="auto"/>
      </w:pPr>
      <w:r>
        <w:separator/>
      </w:r>
    </w:p>
  </w:footnote>
  <w:footnote w:type="continuationSeparator" w:id="0">
    <w:p w14:paraId="7E501774" w14:textId="77777777" w:rsidR="005145C1" w:rsidRDefault="005145C1" w:rsidP="0043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5EA0" w14:textId="77777777" w:rsidR="00BF59B4" w:rsidRDefault="00BF59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4BE6" w14:textId="2F0F6F05" w:rsidR="009C1434" w:rsidRDefault="009C1434">
    <w:pPr>
      <w:pStyle w:val="En-tte"/>
      <w:rPr>
        <w:lang w:val="fr-FR"/>
      </w:rPr>
    </w:pPr>
    <w:r>
      <w:rPr>
        <w:lang w:val="fr-FR"/>
      </w:rPr>
      <w:t>Dernière Mise à jour : 2020-06-1</w:t>
    </w:r>
    <w:r w:rsidR="00347D38">
      <w:rPr>
        <w:lang w:val="fr-FR"/>
      </w:rPr>
      <w:t>5</w:t>
    </w:r>
  </w:p>
  <w:p w14:paraId="6E9A81EE" w14:textId="18D00964" w:rsidR="009C1434" w:rsidRPr="00431626" w:rsidRDefault="009C1434">
    <w:pPr>
      <w:pStyle w:val="En-tte"/>
      <w:rPr>
        <w:lang w:val="fr-FR"/>
      </w:rPr>
    </w:pPr>
    <w:r>
      <w:rPr>
        <w:lang w:val="fr-FR"/>
      </w:rPr>
      <w:t xml:space="preserve">Annexe </w:t>
    </w:r>
    <w:r w:rsidR="004D4625">
      <w:rPr>
        <w:lang w:val="fr-FR"/>
      </w:rPr>
      <w:t xml:space="preserve">1 </w:t>
    </w:r>
    <w:r>
      <w:rPr>
        <w:lang w:val="fr-FR"/>
      </w:rPr>
      <w:t>à la note informative</w:t>
    </w:r>
    <w:r w:rsidR="004D4625">
      <w:rPr>
        <w:lang w:val="fr-FR"/>
      </w:rPr>
      <w:t xml:space="preserve"> – Clauses gestion des terres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BD26" w14:textId="77777777" w:rsidR="00BF59B4" w:rsidRDefault="00BF59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4BC9"/>
    <w:multiLevelType w:val="hybridMultilevel"/>
    <w:tmpl w:val="419695CC"/>
    <w:lvl w:ilvl="0" w:tplc="62C809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915"/>
    <w:multiLevelType w:val="hybridMultilevel"/>
    <w:tmpl w:val="97948C9A"/>
    <w:lvl w:ilvl="0" w:tplc="10C6D3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26"/>
    <w:rsid w:val="00002921"/>
    <w:rsid w:val="00006E39"/>
    <w:rsid w:val="00054236"/>
    <w:rsid w:val="000D4451"/>
    <w:rsid w:val="00101FF8"/>
    <w:rsid w:val="00133950"/>
    <w:rsid w:val="00156068"/>
    <w:rsid w:val="001572A8"/>
    <w:rsid w:val="001866ED"/>
    <w:rsid w:val="00193C2F"/>
    <w:rsid w:val="001A7F48"/>
    <w:rsid w:val="001B5722"/>
    <w:rsid w:val="00203DA6"/>
    <w:rsid w:val="00226501"/>
    <w:rsid w:val="0028392F"/>
    <w:rsid w:val="002925AA"/>
    <w:rsid w:val="002B60AE"/>
    <w:rsid w:val="002C3A87"/>
    <w:rsid w:val="002E03CF"/>
    <w:rsid w:val="002F47C1"/>
    <w:rsid w:val="002F7D5E"/>
    <w:rsid w:val="00304F72"/>
    <w:rsid w:val="003367B5"/>
    <w:rsid w:val="00347D38"/>
    <w:rsid w:val="003850F1"/>
    <w:rsid w:val="003A16B6"/>
    <w:rsid w:val="003B0E95"/>
    <w:rsid w:val="003E7999"/>
    <w:rsid w:val="004135F7"/>
    <w:rsid w:val="00425323"/>
    <w:rsid w:val="00431626"/>
    <w:rsid w:val="00442DCE"/>
    <w:rsid w:val="0044609C"/>
    <w:rsid w:val="00470C6C"/>
    <w:rsid w:val="00480FF7"/>
    <w:rsid w:val="004823A6"/>
    <w:rsid w:val="00497209"/>
    <w:rsid w:val="004D4625"/>
    <w:rsid w:val="004D5663"/>
    <w:rsid w:val="004E2A66"/>
    <w:rsid w:val="00505AC4"/>
    <w:rsid w:val="005145C1"/>
    <w:rsid w:val="00550F53"/>
    <w:rsid w:val="00593ABB"/>
    <w:rsid w:val="00594C0D"/>
    <w:rsid w:val="005B5978"/>
    <w:rsid w:val="005C2286"/>
    <w:rsid w:val="005E33F1"/>
    <w:rsid w:val="00617E85"/>
    <w:rsid w:val="0062385E"/>
    <w:rsid w:val="00667484"/>
    <w:rsid w:val="006A3436"/>
    <w:rsid w:val="006B3C01"/>
    <w:rsid w:val="006C0FFD"/>
    <w:rsid w:val="006F4C9C"/>
    <w:rsid w:val="007038C2"/>
    <w:rsid w:val="00705813"/>
    <w:rsid w:val="00741285"/>
    <w:rsid w:val="007628C7"/>
    <w:rsid w:val="0077139C"/>
    <w:rsid w:val="00776F29"/>
    <w:rsid w:val="00782429"/>
    <w:rsid w:val="007A73D3"/>
    <w:rsid w:val="007A7B02"/>
    <w:rsid w:val="007D684E"/>
    <w:rsid w:val="0080178E"/>
    <w:rsid w:val="008202ED"/>
    <w:rsid w:val="0087592D"/>
    <w:rsid w:val="00880EB6"/>
    <w:rsid w:val="0089325A"/>
    <w:rsid w:val="0089415D"/>
    <w:rsid w:val="008C1041"/>
    <w:rsid w:val="00914AE1"/>
    <w:rsid w:val="009221CC"/>
    <w:rsid w:val="00971C68"/>
    <w:rsid w:val="009C1434"/>
    <w:rsid w:val="009F684E"/>
    <w:rsid w:val="00A11DD3"/>
    <w:rsid w:val="00A3181C"/>
    <w:rsid w:val="00A56F28"/>
    <w:rsid w:val="00A63AF3"/>
    <w:rsid w:val="00A72D0D"/>
    <w:rsid w:val="00A731B2"/>
    <w:rsid w:val="00AD683D"/>
    <w:rsid w:val="00AF0740"/>
    <w:rsid w:val="00B07C3C"/>
    <w:rsid w:val="00B32441"/>
    <w:rsid w:val="00B75AA8"/>
    <w:rsid w:val="00B80C69"/>
    <w:rsid w:val="00BA34F7"/>
    <w:rsid w:val="00BA7453"/>
    <w:rsid w:val="00BB4D0C"/>
    <w:rsid w:val="00BB6B6E"/>
    <w:rsid w:val="00BD0CFB"/>
    <w:rsid w:val="00BD69A8"/>
    <w:rsid w:val="00BE7A8B"/>
    <w:rsid w:val="00BF59B4"/>
    <w:rsid w:val="00BF6B8F"/>
    <w:rsid w:val="00C0105D"/>
    <w:rsid w:val="00C20713"/>
    <w:rsid w:val="00C467A9"/>
    <w:rsid w:val="00CA24AD"/>
    <w:rsid w:val="00CF4ABD"/>
    <w:rsid w:val="00D017A6"/>
    <w:rsid w:val="00D02402"/>
    <w:rsid w:val="00D27332"/>
    <w:rsid w:val="00D35518"/>
    <w:rsid w:val="00D57F28"/>
    <w:rsid w:val="00D73A0B"/>
    <w:rsid w:val="00D745FF"/>
    <w:rsid w:val="00D8496A"/>
    <w:rsid w:val="00D879A5"/>
    <w:rsid w:val="00DB4E0B"/>
    <w:rsid w:val="00DD4420"/>
    <w:rsid w:val="00DD74B5"/>
    <w:rsid w:val="00E14048"/>
    <w:rsid w:val="00E4491C"/>
    <w:rsid w:val="00E6317D"/>
    <w:rsid w:val="00E66FCE"/>
    <w:rsid w:val="00E76A82"/>
    <w:rsid w:val="00E81F80"/>
    <w:rsid w:val="00E862E5"/>
    <w:rsid w:val="00E8716C"/>
    <w:rsid w:val="00EA24F1"/>
    <w:rsid w:val="00EB47FC"/>
    <w:rsid w:val="00ED3A96"/>
    <w:rsid w:val="00EE6046"/>
    <w:rsid w:val="00F3058A"/>
    <w:rsid w:val="00F34EF3"/>
    <w:rsid w:val="00F94001"/>
    <w:rsid w:val="00FA0715"/>
    <w:rsid w:val="00FA7874"/>
    <w:rsid w:val="00FB66FD"/>
    <w:rsid w:val="00FC23F1"/>
    <w:rsid w:val="00FD6291"/>
    <w:rsid w:val="00FE4063"/>
    <w:rsid w:val="00FF5378"/>
    <w:rsid w:val="0432D300"/>
    <w:rsid w:val="04821730"/>
    <w:rsid w:val="092CB8B6"/>
    <w:rsid w:val="1244B5EB"/>
    <w:rsid w:val="13933D30"/>
    <w:rsid w:val="175BEF0D"/>
    <w:rsid w:val="2A95D2E1"/>
    <w:rsid w:val="2F2821E6"/>
    <w:rsid w:val="3087D96A"/>
    <w:rsid w:val="36CC487B"/>
    <w:rsid w:val="51B1AC14"/>
    <w:rsid w:val="54343C98"/>
    <w:rsid w:val="5955D2A9"/>
    <w:rsid w:val="5C18308E"/>
    <w:rsid w:val="77222807"/>
    <w:rsid w:val="7A788311"/>
    <w:rsid w:val="7E5EA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A7068"/>
  <w15:chartTrackingRefBased/>
  <w15:docId w15:val="{D764BA30-CEFC-42AF-A45C-E5CD2BD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626"/>
  </w:style>
  <w:style w:type="paragraph" w:styleId="Pieddepage">
    <w:name w:val="footer"/>
    <w:basedOn w:val="Normal"/>
    <w:link w:val="PieddepageCar"/>
    <w:uiPriority w:val="99"/>
    <w:unhideWhenUsed/>
    <w:rsid w:val="0043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626"/>
  </w:style>
  <w:style w:type="character" w:styleId="Lienhypertexte">
    <w:name w:val="Hyperlink"/>
    <w:basedOn w:val="Policepardfaut"/>
    <w:uiPriority w:val="99"/>
    <w:unhideWhenUsed/>
    <w:rsid w:val="00431626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1626"/>
    <w:rPr>
      <w:color w:val="954F72"/>
      <w:u w:val="single"/>
    </w:rPr>
  </w:style>
  <w:style w:type="paragraph" w:customStyle="1" w:styleId="msonormal0">
    <w:name w:val="msonormal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font5">
    <w:name w:val="font5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2"/>
      <w:szCs w:val="12"/>
      <w:lang w:eastAsia="fr-BE"/>
    </w:rPr>
  </w:style>
  <w:style w:type="paragraph" w:customStyle="1" w:styleId="font6">
    <w:name w:val="font6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fr-BE"/>
    </w:rPr>
  </w:style>
  <w:style w:type="paragraph" w:customStyle="1" w:styleId="font7">
    <w:name w:val="font7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7"/>
      <w:sz w:val="12"/>
      <w:szCs w:val="12"/>
      <w:lang w:eastAsia="fr-BE"/>
    </w:rPr>
  </w:style>
  <w:style w:type="paragraph" w:customStyle="1" w:styleId="font8">
    <w:name w:val="font8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fr-BE"/>
    </w:rPr>
  </w:style>
  <w:style w:type="paragraph" w:customStyle="1" w:styleId="font9">
    <w:name w:val="font9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font10">
    <w:name w:val="font10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12"/>
      <w:szCs w:val="12"/>
      <w:lang w:eastAsia="fr-BE"/>
    </w:rPr>
  </w:style>
  <w:style w:type="paragraph" w:customStyle="1" w:styleId="font11">
    <w:name w:val="font11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12"/>
      <w:szCs w:val="12"/>
      <w:lang w:eastAsia="fr-BE"/>
    </w:rPr>
  </w:style>
  <w:style w:type="paragraph" w:customStyle="1" w:styleId="font12">
    <w:name w:val="font12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font13">
    <w:name w:val="font13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12"/>
      <w:szCs w:val="12"/>
      <w:lang w:eastAsia="fr-BE"/>
    </w:rPr>
  </w:style>
  <w:style w:type="paragraph" w:customStyle="1" w:styleId="font14">
    <w:name w:val="font14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u w:val="single"/>
      <w:lang w:eastAsia="fr-BE"/>
    </w:rPr>
  </w:style>
  <w:style w:type="paragraph" w:customStyle="1" w:styleId="font15">
    <w:name w:val="font15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fr-BE"/>
    </w:rPr>
  </w:style>
  <w:style w:type="paragraph" w:customStyle="1" w:styleId="font16">
    <w:name w:val="font16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12"/>
      <w:szCs w:val="12"/>
      <w:lang w:eastAsia="fr-BE"/>
    </w:rPr>
  </w:style>
  <w:style w:type="paragraph" w:customStyle="1" w:styleId="font17">
    <w:name w:val="font17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65911"/>
      <w:sz w:val="12"/>
      <w:szCs w:val="12"/>
      <w:lang w:eastAsia="fr-BE"/>
    </w:rPr>
  </w:style>
  <w:style w:type="paragraph" w:customStyle="1" w:styleId="xl65">
    <w:name w:val="xl65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fr-BE"/>
    </w:rPr>
  </w:style>
  <w:style w:type="paragraph" w:customStyle="1" w:styleId="xl66">
    <w:name w:val="xl66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fr-BE"/>
    </w:rPr>
  </w:style>
  <w:style w:type="paragraph" w:customStyle="1" w:styleId="xl67">
    <w:name w:val="xl67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fr-BE"/>
    </w:rPr>
  </w:style>
  <w:style w:type="paragraph" w:customStyle="1" w:styleId="xl68">
    <w:name w:val="xl68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69">
    <w:name w:val="xl69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BE"/>
    </w:rPr>
  </w:style>
  <w:style w:type="paragraph" w:customStyle="1" w:styleId="xl70">
    <w:name w:val="xl70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12"/>
      <w:szCs w:val="12"/>
      <w:lang w:eastAsia="fr-BE"/>
    </w:rPr>
  </w:style>
  <w:style w:type="paragraph" w:customStyle="1" w:styleId="xl71">
    <w:name w:val="xl71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fr-BE"/>
    </w:rPr>
  </w:style>
  <w:style w:type="paragraph" w:customStyle="1" w:styleId="xl72">
    <w:name w:val="xl72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fr-BE"/>
    </w:rPr>
  </w:style>
  <w:style w:type="paragraph" w:customStyle="1" w:styleId="xl73">
    <w:name w:val="xl73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fr-BE"/>
    </w:rPr>
  </w:style>
  <w:style w:type="paragraph" w:customStyle="1" w:styleId="xl74">
    <w:name w:val="xl74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2"/>
      <w:szCs w:val="12"/>
      <w:lang w:eastAsia="fr-BE"/>
    </w:rPr>
  </w:style>
  <w:style w:type="paragraph" w:customStyle="1" w:styleId="xl75">
    <w:name w:val="xl75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76">
    <w:name w:val="xl76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77">
    <w:name w:val="xl77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2"/>
      <w:szCs w:val="12"/>
      <w:lang w:eastAsia="fr-BE"/>
    </w:rPr>
  </w:style>
  <w:style w:type="paragraph" w:customStyle="1" w:styleId="xl78">
    <w:name w:val="xl78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fr-BE"/>
    </w:rPr>
  </w:style>
  <w:style w:type="paragraph" w:customStyle="1" w:styleId="xl79">
    <w:name w:val="xl79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u w:val="single"/>
      <w:lang w:eastAsia="fr-BE"/>
    </w:rPr>
  </w:style>
  <w:style w:type="paragraph" w:customStyle="1" w:styleId="xl80">
    <w:name w:val="xl80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fr-BE"/>
    </w:rPr>
  </w:style>
  <w:style w:type="paragraph" w:customStyle="1" w:styleId="xl81">
    <w:name w:val="xl81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fr-BE"/>
    </w:rPr>
  </w:style>
  <w:style w:type="paragraph" w:customStyle="1" w:styleId="xl82">
    <w:name w:val="xl82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fr-BE"/>
    </w:rPr>
  </w:style>
  <w:style w:type="paragraph" w:customStyle="1" w:styleId="xl83">
    <w:name w:val="xl83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84">
    <w:name w:val="xl84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fr-BE"/>
    </w:rPr>
  </w:style>
  <w:style w:type="paragraph" w:customStyle="1" w:styleId="xl85">
    <w:name w:val="xl85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86">
    <w:name w:val="xl86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87">
    <w:name w:val="xl87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u w:val="single"/>
      <w:lang w:eastAsia="fr-BE"/>
    </w:rPr>
  </w:style>
  <w:style w:type="paragraph" w:customStyle="1" w:styleId="xl88">
    <w:name w:val="xl88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2"/>
      <w:szCs w:val="12"/>
      <w:lang w:eastAsia="fr-BE"/>
    </w:rPr>
  </w:style>
  <w:style w:type="paragraph" w:customStyle="1" w:styleId="xl89">
    <w:name w:val="xl89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90">
    <w:name w:val="xl90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fr-BE"/>
    </w:rPr>
  </w:style>
  <w:style w:type="paragraph" w:customStyle="1" w:styleId="xl91">
    <w:name w:val="xl91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2"/>
      <w:szCs w:val="12"/>
      <w:lang w:eastAsia="fr-BE"/>
    </w:rPr>
  </w:style>
  <w:style w:type="paragraph" w:customStyle="1" w:styleId="xl92">
    <w:name w:val="xl92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fr-BE"/>
    </w:rPr>
  </w:style>
  <w:style w:type="paragraph" w:customStyle="1" w:styleId="xl93">
    <w:name w:val="xl93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fr-BE"/>
    </w:rPr>
  </w:style>
  <w:style w:type="paragraph" w:customStyle="1" w:styleId="xl94">
    <w:name w:val="xl94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2"/>
      <w:szCs w:val="12"/>
      <w:lang w:eastAsia="fr-BE"/>
    </w:rPr>
  </w:style>
  <w:style w:type="paragraph" w:customStyle="1" w:styleId="xl95">
    <w:name w:val="xl95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96">
    <w:name w:val="xl96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97">
    <w:name w:val="xl97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fr-BE"/>
    </w:rPr>
  </w:style>
  <w:style w:type="paragraph" w:customStyle="1" w:styleId="xl98">
    <w:name w:val="xl98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2"/>
      <w:szCs w:val="12"/>
      <w:lang w:eastAsia="fr-BE"/>
    </w:rPr>
  </w:style>
  <w:style w:type="paragraph" w:customStyle="1" w:styleId="xl99">
    <w:name w:val="xl99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fr-BE"/>
    </w:rPr>
  </w:style>
  <w:style w:type="paragraph" w:customStyle="1" w:styleId="xl100">
    <w:name w:val="xl100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7030A0"/>
      <w:sz w:val="12"/>
      <w:szCs w:val="12"/>
      <w:lang w:eastAsia="fr-BE"/>
    </w:rPr>
  </w:style>
  <w:style w:type="paragraph" w:customStyle="1" w:styleId="xl101">
    <w:name w:val="xl101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2"/>
      <w:szCs w:val="12"/>
      <w:lang w:eastAsia="fr-BE"/>
    </w:rPr>
  </w:style>
  <w:style w:type="paragraph" w:customStyle="1" w:styleId="xl102">
    <w:name w:val="xl102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CCCC"/>
      <w:sz w:val="12"/>
      <w:szCs w:val="12"/>
      <w:lang w:eastAsia="fr-BE"/>
    </w:rPr>
  </w:style>
  <w:style w:type="paragraph" w:customStyle="1" w:styleId="xl103">
    <w:name w:val="xl103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002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2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2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2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29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921"/>
    <w:rPr>
      <w:rFonts w:ascii="Segoe UI" w:hAnsi="Segoe UI" w:cs="Segoe UI"/>
      <w:sz w:val="18"/>
      <w:szCs w:val="18"/>
    </w:rPr>
  </w:style>
  <w:style w:type="paragraph" w:customStyle="1" w:styleId="Author-eSectionHeading1">
    <w:name w:val="Author-e Section Heading 1"/>
    <w:uiPriority w:val="40"/>
    <w:qFormat/>
    <w:rsid w:val="00BE7A8B"/>
    <w:pPr>
      <w:spacing w:before="100" w:after="100" w:line="260" w:lineRule="auto"/>
      <w:outlineLvl w:val="0"/>
    </w:pPr>
    <w:rPr>
      <w:rFonts w:ascii="Arial" w:eastAsia="Times New Roman" w:hAnsi="Arial" w:cs="Arial"/>
      <w:color w:val="3366FF"/>
      <w:sz w:val="40"/>
      <w:szCs w:val="20"/>
      <w:lang w:eastAsia="fr-BE"/>
    </w:rPr>
  </w:style>
  <w:style w:type="paragraph" w:customStyle="1" w:styleId="Author-eSectionHeading2">
    <w:name w:val="Author-e Section Heading 2"/>
    <w:uiPriority w:val="40"/>
    <w:qFormat/>
    <w:rsid w:val="00BE7A8B"/>
    <w:pPr>
      <w:spacing w:before="100" w:after="100" w:line="260" w:lineRule="auto"/>
      <w:outlineLvl w:val="1"/>
    </w:pPr>
    <w:rPr>
      <w:rFonts w:ascii="Arial" w:eastAsia="Times New Roman" w:hAnsi="Arial" w:cs="Arial"/>
      <w:color w:val="3366FF"/>
      <w:sz w:val="36"/>
      <w:szCs w:val="20"/>
      <w:lang w:eastAsia="fr-BE"/>
    </w:rPr>
  </w:style>
  <w:style w:type="paragraph" w:customStyle="1" w:styleId="Author-eSectionHeading3">
    <w:name w:val="Author-e Section Heading 3"/>
    <w:uiPriority w:val="40"/>
    <w:qFormat/>
    <w:rsid w:val="00BE7A8B"/>
    <w:pPr>
      <w:spacing w:before="100" w:after="100" w:line="260" w:lineRule="auto"/>
      <w:outlineLvl w:val="2"/>
    </w:pPr>
    <w:rPr>
      <w:rFonts w:ascii="Arial" w:eastAsia="Times New Roman" w:hAnsi="Arial" w:cs="Arial"/>
      <w:color w:val="3366FF"/>
      <w:sz w:val="32"/>
      <w:szCs w:val="20"/>
      <w:lang w:eastAsia="fr-BE"/>
    </w:rPr>
  </w:style>
  <w:style w:type="paragraph" w:customStyle="1" w:styleId="pheading">
    <w:name w:val="pheading"/>
    <w:link w:val="pheadingChar"/>
    <w:uiPriority w:val="40"/>
    <w:qFormat/>
    <w:rsid w:val="00193C2F"/>
    <w:pPr>
      <w:spacing w:before="100" w:after="100" w:line="260" w:lineRule="auto"/>
    </w:pPr>
    <w:rPr>
      <w:rFonts w:ascii="Arial" w:eastAsia="Times New Roman" w:hAnsi="Arial" w:cs="Arial"/>
      <w:color w:val="FF0000"/>
      <w:sz w:val="24"/>
      <w:szCs w:val="20"/>
      <w:lang w:eastAsia="fr-BE"/>
    </w:rPr>
  </w:style>
  <w:style w:type="character" w:customStyle="1" w:styleId="pheadingChar">
    <w:name w:val="pheading Char"/>
    <w:link w:val="pheading"/>
    <w:rsid w:val="00193C2F"/>
    <w:rPr>
      <w:rFonts w:ascii="Arial" w:eastAsia="Times New Roman" w:hAnsi="Arial" w:cs="Arial"/>
      <w:color w:val="FF0000"/>
      <w:sz w:val="24"/>
      <w:szCs w:val="20"/>
      <w:lang w:eastAsia="fr-BE"/>
    </w:rPr>
  </w:style>
  <w:style w:type="paragraph" w:styleId="Rvision">
    <w:name w:val="Revision"/>
    <w:hidden/>
    <w:uiPriority w:val="99"/>
    <w:semiHidden/>
    <w:rsid w:val="00971C6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F7D5E"/>
    <w:pPr>
      <w:ind w:left="720"/>
      <w:contextualSpacing/>
    </w:pPr>
  </w:style>
  <w:style w:type="paragraph" w:customStyle="1" w:styleId="Author-eSectionHeading4">
    <w:name w:val="Author-e Section Heading 4"/>
    <w:uiPriority w:val="40"/>
    <w:qFormat/>
    <w:rsid w:val="000D4451"/>
    <w:pPr>
      <w:spacing w:before="100" w:after="100" w:line="260" w:lineRule="auto"/>
      <w:outlineLvl w:val="3"/>
    </w:pPr>
    <w:rPr>
      <w:rFonts w:ascii="Arial" w:eastAsia="Times New Roman" w:hAnsi="Arial" w:cs="Arial"/>
      <w:color w:val="3366FF"/>
      <w:sz w:val="30"/>
      <w:szCs w:val="20"/>
      <w:lang w:eastAsia="fr-BE"/>
    </w:rPr>
  </w:style>
  <w:style w:type="paragraph" w:customStyle="1" w:styleId="Author-eSectionHeading5">
    <w:name w:val="Author-e Section Heading 5"/>
    <w:uiPriority w:val="40"/>
    <w:qFormat/>
    <w:rsid w:val="000D4451"/>
    <w:pPr>
      <w:spacing w:before="100" w:after="100" w:line="260" w:lineRule="auto"/>
      <w:outlineLvl w:val="4"/>
    </w:pPr>
    <w:rPr>
      <w:rFonts w:ascii="Arial" w:eastAsia="Times New Roman" w:hAnsi="Arial" w:cs="Arial"/>
      <w:color w:val="3366FF"/>
      <w:sz w:val="28"/>
      <w:szCs w:val="20"/>
      <w:lang w:eastAsia="fr-BE"/>
    </w:rPr>
  </w:style>
  <w:style w:type="paragraph" w:customStyle="1" w:styleId="Author-eSectionHeading6">
    <w:name w:val="Author-e Section Heading 6"/>
    <w:uiPriority w:val="40"/>
    <w:qFormat/>
    <w:rsid w:val="00F3058A"/>
    <w:pPr>
      <w:spacing w:before="100" w:after="100" w:line="260" w:lineRule="auto"/>
      <w:outlineLvl w:val="5"/>
    </w:pPr>
    <w:rPr>
      <w:rFonts w:ascii="Arial" w:eastAsia="Times New Roman" w:hAnsi="Arial" w:cs="Arial"/>
      <w:color w:val="3366FF"/>
      <w:sz w:val="24"/>
      <w:szCs w:val="20"/>
      <w:lang w:eastAsia="fr-BE"/>
    </w:rPr>
  </w:style>
  <w:style w:type="character" w:customStyle="1" w:styleId="optioncarChar">
    <w:name w:val="optioncar Char"/>
    <w:link w:val="optioncar"/>
    <w:rsid w:val="00E4491C"/>
    <w:rPr>
      <w:rFonts w:ascii="Arial" w:hAnsi="Arial" w:cs="Arial"/>
      <w:color w:val="FF0000"/>
      <w:sz w:val="20"/>
    </w:rPr>
  </w:style>
  <w:style w:type="paragraph" w:customStyle="1" w:styleId="optioncar">
    <w:name w:val="optioncar"/>
    <w:link w:val="optioncarChar"/>
    <w:qFormat/>
    <w:rsid w:val="00E4491C"/>
    <w:pPr>
      <w:spacing w:before="100" w:after="100" w:line="260" w:lineRule="auto"/>
    </w:pPr>
    <w:rPr>
      <w:rFonts w:ascii="Arial" w:hAnsi="Arial" w:cs="Arial"/>
      <w:color w:val="FF0000"/>
      <w:sz w:val="20"/>
    </w:rPr>
  </w:style>
  <w:style w:type="character" w:customStyle="1" w:styleId="soitChar">
    <w:name w:val="soit Char"/>
    <w:link w:val="soit"/>
    <w:rsid w:val="00E4491C"/>
    <w:rPr>
      <w:rFonts w:ascii="Arial" w:hAnsi="Arial" w:cs="Arial"/>
      <w:color w:val="33CCCC"/>
      <w:sz w:val="20"/>
    </w:rPr>
  </w:style>
  <w:style w:type="paragraph" w:customStyle="1" w:styleId="soit">
    <w:name w:val="soit"/>
    <w:link w:val="soitChar"/>
    <w:qFormat/>
    <w:rsid w:val="00E4491C"/>
    <w:pPr>
      <w:spacing w:before="100" w:after="100" w:line="260" w:lineRule="auto"/>
    </w:pPr>
    <w:rPr>
      <w:rFonts w:ascii="Arial" w:hAnsi="Arial" w:cs="Arial"/>
      <w:color w:val="33CCCC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5E3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3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nonrsolue">
    <w:name w:val="Unresolved Mention"/>
    <w:basedOn w:val="Policepardfaut"/>
    <w:uiPriority w:val="99"/>
    <w:semiHidden/>
    <w:unhideWhenUsed/>
    <w:rsid w:val="00E81F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lloni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1916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Delloge Helene</dc:creator>
  <cp:keywords/>
  <dc:description/>
  <cp:lastModifiedBy>Christian Capart</cp:lastModifiedBy>
  <cp:revision>64</cp:revision>
  <dcterms:created xsi:type="dcterms:W3CDTF">2020-06-15T09:59:00Z</dcterms:created>
  <dcterms:modified xsi:type="dcterms:W3CDTF">2021-12-01T16:45:00Z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christophe.charlemagne@spw.wallonie.be</vt:lpwstr>
  </property>
  <property fmtid="{D5CDD505-2E9C-101B-9397-08002B2CF9AE}" pid="5" name="MSIP_Label_e72a09c5-6e26-4737-a926-47ef1ab198ae_SetDate">
    <vt:lpwstr>2020-04-14T06:41:29.9954307Z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8497c4f0-e768-43db-8ed2-e1babad894e0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