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A5DEE" w14:textId="77777777" w:rsidR="001E2986" w:rsidRDefault="00AA7C56" w:rsidP="00593BA8">
      <w:pPr>
        <w:pStyle w:val="Author-eSectionHeading6"/>
      </w:pPr>
      <w:bookmarkStart w:id="0" w:name="_Toc1"/>
      <w:bookmarkStart w:id="1" w:name="_Hlk79595574"/>
      <w:r>
        <w:t>Prises de courant - recharge de véhicules électriques</w:t>
      </w:r>
      <w:bookmarkEnd w:id="0"/>
    </w:p>
    <w:bookmarkEnd w:id="1"/>
    <w:p w14:paraId="01D2327B" w14:textId="77777777" w:rsidR="001E2986" w:rsidRDefault="00AA7C56">
      <w:pPr>
        <w:pStyle w:val="pheading"/>
      </w:pPr>
      <w:r>
        <w:t>DESCRIPTION</w:t>
      </w:r>
    </w:p>
    <w:p w14:paraId="77E742F1" w14:textId="77777777" w:rsidR="001E2986" w:rsidRDefault="00AA7C56">
      <w:pPr>
        <w:pStyle w:val="pheading"/>
      </w:pPr>
      <w:r>
        <w:t>- Définition / Comprend</w:t>
      </w:r>
    </w:p>
    <w:p w14:paraId="3BC5D382" w14:textId="655D4941" w:rsidR="00593BA8" w:rsidRPr="00593BA8" w:rsidRDefault="00593BA8" w:rsidP="00593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593BA8">
        <w:rPr>
          <w:u w:val="single"/>
        </w:rPr>
        <w:t>Complété comme suit :</w:t>
      </w:r>
    </w:p>
    <w:p w14:paraId="7E000279" w14:textId="41C19D8C" w:rsidR="001E2986" w:rsidRDefault="00AA7C56" w:rsidP="00593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Il s'agit de la fourniture et de l'installation des prises de courant pour recharge de véhicules.</w:t>
      </w:r>
    </w:p>
    <w:p w14:paraId="149A5D17" w14:textId="77777777" w:rsidR="001E2986" w:rsidRDefault="00AA7C56">
      <w:pPr>
        <w:pStyle w:val="pheading"/>
      </w:pPr>
      <w:r>
        <w:t>- Localisation</w:t>
      </w:r>
    </w:p>
    <w:p w14:paraId="00F2059D" w14:textId="77777777" w:rsidR="001E2986" w:rsidRDefault="00AA7C56">
      <w:pPr>
        <w:pStyle w:val="pheading"/>
      </w:pPr>
      <w:r>
        <w:t>MATÉRIAUX</w:t>
      </w:r>
    </w:p>
    <w:p w14:paraId="5FCE173C" w14:textId="77777777" w:rsidR="001E2986" w:rsidRDefault="00AA7C56">
      <w:pPr>
        <w:pStyle w:val="pheading"/>
      </w:pPr>
      <w:r>
        <w:t>- Caractéristiques générales</w:t>
      </w:r>
    </w:p>
    <w:p w14:paraId="38BDA332" w14:textId="77777777" w:rsidR="00593BA8" w:rsidRPr="00593BA8" w:rsidRDefault="00593BA8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u w:val="single"/>
        </w:rPr>
      </w:pPr>
      <w:r w:rsidRPr="00593BA8">
        <w:rPr>
          <w:u w:val="single"/>
        </w:rPr>
        <w:t>Complété comme suit :</w:t>
      </w:r>
    </w:p>
    <w:p w14:paraId="5A7E3E50" w14:textId="0AEF7587" w:rsidR="00E02FDB" w:rsidRPr="00B10357" w:rsidRDefault="00E02FDB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B10357">
        <w:t xml:space="preserve">Type de prise : </w:t>
      </w:r>
      <w:r w:rsidRPr="00B10357">
        <w:rPr>
          <w:color w:val="FF0000"/>
        </w:rPr>
        <w:t xml:space="preserve">Borne de pour mode de charge 3 </w:t>
      </w:r>
      <w:r w:rsidRPr="00B10357">
        <w:t xml:space="preserve">(par défaut) </w:t>
      </w:r>
      <w:r w:rsidR="00B747C8" w:rsidRPr="00593BA8">
        <w:rPr>
          <w:color w:val="FF0000"/>
        </w:rPr>
        <w:t>/ Borne pour m</w:t>
      </w:r>
      <w:r w:rsidR="006F6E88" w:rsidRPr="00593BA8">
        <w:rPr>
          <w:color w:val="FF0000"/>
        </w:rPr>
        <w:t>od</w:t>
      </w:r>
      <w:r w:rsidR="00B747C8" w:rsidRPr="00593BA8">
        <w:rPr>
          <w:color w:val="FF0000"/>
        </w:rPr>
        <w:t>e</w:t>
      </w:r>
      <w:r w:rsidR="00DA4098">
        <w:rPr>
          <w:color w:val="FF0000"/>
        </w:rPr>
        <w:t>s</w:t>
      </w:r>
      <w:r w:rsidR="00B747C8" w:rsidRPr="00593BA8">
        <w:rPr>
          <w:color w:val="FF0000"/>
        </w:rPr>
        <w:t xml:space="preserve"> de charge </w:t>
      </w:r>
      <w:r w:rsidR="005C63E8">
        <w:rPr>
          <w:color w:val="FF0000"/>
        </w:rPr>
        <w:t xml:space="preserve">3 et </w:t>
      </w:r>
      <w:r w:rsidR="00B747C8" w:rsidRPr="00593BA8">
        <w:rPr>
          <w:color w:val="FF0000"/>
        </w:rPr>
        <w:t>4</w:t>
      </w:r>
      <w:r>
        <w:t>.</w:t>
      </w:r>
    </w:p>
    <w:p w14:paraId="6B8CFF83" w14:textId="5363B833" w:rsidR="002D4770" w:rsidRPr="00B10357" w:rsidRDefault="00E02FDB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u w:val="single"/>
        </w:rPr>
      </w:pPr>
      <w:r>
        <w:rPr>
          <w:u w:val="single"/>
        </w:rPr>
        <w:t xml:space="preserve">Borne </w:t>
      </w:r>
      <w:r w:rsidR="002D4770" w:rsidRPr="00B10357">
        <w:rPr>
          <w:u w:val="single"/>
        </w:rPr>
        <w:t xml:space="preserve">pour mode de charge 3 : </w:t>
      </w:r>
    </w:p>
    <w:p w14:paraId="1385FACC" w14:textId="493179F4" w:rsidR="002D4770" w:rsidRDefault="00E02FDB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Type </w:t>
      </w:r>
      <w:r w:rsidR="00356F8B">
        <w:t xml:space="preserve">(montage) </w:t>
      </w:r>
      <w:r>
        <w:t xml:space="preserve">: borne </w:t>
      </w:r>
      <w:r w:rsidRPr="00B10357">
        <w:rPr>
          <w:color w:val="FF0000"/>
        </w:rPr>
        <w:t xml:space="preserve">sur statif </w:t>
      </w:r>
      <w:r>
        <w:t xml:space="preserve">(par défaut) </w:t>
      </w:r>
      <w:r w:rsidRPr="00B10357">
        <w:rPr>
          <w:color w:val="FF0000"/>
        </w:rPr>
        <w:t>/ murale</w:t>
      </w:r>
      <w:r>
        <w:t>.</w:t>
      </w:r>
    </w:p>
    <w:p w14:paraId="3CE4151F" w14:textId="592C413E" w:rsidR="001E2986" w:rsidRDefault="00AA7C56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Les prises </w:t>
      </w:r>
      <w:r w:rsidR="00D0326E">
        <w:t xml:space="preserve">et bornes </w:t>
      </w:r>
      <w:r>
        <w:t>sont conformes aux normes</w:t>
      </w:r>
      <w:r w:rsidR="00D0326E">
        <w:t xml:space="preserve"> </w:t>
      </w:r>
      <w:r>
        <w:t>[EN 62196-1]</w:t>
      </w:r>
      <w:r w:rsidR="00D0326E">
        <w:t xml:space="preserve"> et </w:t>
      </w:r>
      <w:r>
        <w:t>[EN 62196-2]</w:t>
      </w:r>
      <w:r w:rsidR="00655DDE">
        <w:t>.  Les prises sont de type 2 suivant la [EN 62196-2].</w:t>
      </w:r>
    </w:p>
    <w:p w14:paraId="150B110B" w14:textId="77777777" w:rsidR="001E2986" w:rsidRDefault="00AA7C56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L'état de fonctionnement du chargeur sera clairement signalé par un ou des indicateurs lumineux ou afficheur (mode stand-by ; en charge ; chargé ; disfonctionnement ...).</w:t>
      </w:r>
    </w:p>
    <w:p w14:paraId="546ABBE2" w14:textId="4016306C" w:rsidR="00655DDE" w:rsidRDefault="00AA7C56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B10357">
        <w:rPr>
          <w:rStyle w:val="optioncarChar"/>
          <w:color w:val="auto"/>
        </w:rPr>
        <w:t xml:space="preserve">Puissance </w:t>
      </w:r>
      <w:r w:rsidR="008E47C6" w:rsidRPr="00B10357">
        <w:rPr>
          <w:rStyle w:val="optioncarChar"/>
          <w:color w:val="auto"/>
        </w:rPr>
        <w:t xml:space="preserve">minimale </w:t>
      </w:r>
      <w:r w:rsidR="00FB1CA0">
        <w:rPr>
          <w:rStyle w:val="optioncarChar"/>
          <w:color w:val="auto"/>
        </w:rPr>
        <w:t xml:space="preserve">par prise </w:t>
      </w:r>
      <w:r w:rsidRPr="00B10357">
        <w:rPr>
          <w:rStyle w:val="optioncarChar"/>
          <w:color w:val="auto"/>
        </w:rPr>
        <w:t xml:space="preserve">: </w:t>
      </w:r>
      <w:r>
        <w:rPr>
          <w:rStyle w:val="optioncarChar"/>
        </w:rPr>
        <w:t xml:space="preserve">3,7 </w:t>
      </w:r>
      <w:r w:rsidR="00BD713E" w:rsidRPr="00B10357">
        <w:rPr>
          <w:rStyle w:val="optioncarChar"/>
          <w:color w:val="auto"/>
        </w:rPr>
        <w:t xml:space="preserve">(par défaut) </w:t>
      </w:r>
      <w:r>
        <w:rPr>
          <w:rStyle w:val="optioncarChar"/>
        </w:rPr>
        <w:t>/</w:t>
      </w:r>
      <w:r w:rsidR="006F6E88">
        <w:rPr>
          <w:rStyle w:val="optioncarChar"/>
        </w:rPr>
        <w:t xml:space="preserve"> 7 /</w:t>
      </w:r>
      <w:r w:rsidR="00655DDE">
        <w:rPr>
          <w:rStyle w:val="optioncarChar"/>
        </w:rPr>
        <w:t xml:space="preserve"> </w:t>
      </w:r>
      <w:r>
        <w:rPr>
          <w:rStyle w:val="optioncarChar"/>
        </w:rPr>
        <w:t>11 / 22</w:t>
      </w:r>
      <w:r w:rsidR="00B91EB0">
        <w:rPr>
          <w:rStyle w:val="optioncarChar"/>
        </w:rPr>
        <w:t xml:space="preserve"> </w:t>
      </w:r>
      <w:r w:rsidRPr="00593BA8">
        <w:t>kW</w:t>
      </w:r>
      <w:r>
        <w:br/>
        <w:t xml:space="preserve">Matériau : </w:t>
      </w:r>
      <w:r>
        <w:rPr>
          <w:rStyle w:val="optioncarChar"/>
        </w:rPr>
        <w:t>matière synthétique</w:t>
      </w:r>
      <w:r>
        <w:t xml:space="preserve"> (par défaut)</w:t>
      </w:r>
      <w:r>
        <w:rPr>
          <w:rStyle w:val="optioncarChar"/>
        </w:rPr>
        <w:t xml:space="preserve"> / métallique (inox)</w:t>
      </w:r>
      <w:r>
        <w:br/>
        <w:t xml:space="preserve">Couleur : Coloris </w:t>
      </w:r>
      <w:r>
        <w:rPr>
          <w:rStyle w:val="optioncarChar"/>
        </w:rPr>
        <w:t>***</w:t>
      </w:r>
      <w:r>
        <w:br/>
        <w:t xml:space="preserve">Tension nominale </w:t>
      </w:r>
      <w:r w:rsidR="00B747C8">
        <w:t xml:space="preserve">d’alimentation de la borne </w:t>
      </w:r>
      <w:r>
        <w:t>:</w:t>
      </w:r>
      <w:r>
        <w:rPr>
          <w:rStyle w:val="optioncarChar"/>
        </w:rPr>
        <w:t xml:space="preserve"> 230 V</w:t>
      </w:r>
      <w:r>
        <w:t xml:space="preserve"> (par défaut) / </w:t>
      </w:r>
      <w:r>
        <w:rPr>
          <w:rStyle w:val="optioncarChar"/>
        </w:rPr>
        <w:t>400</w:t>
      </w:r>
      <w:r w:rsidR="00BD713E">
        <w:rPr>
          <w:rStyle w:val="optioncarChar"/>
        </w:rPr>
        <w:t xml:space="preserve"> </w:t>
      </w:r>
      <w:r>
        <w:rPr>
          <w:rStyle w:val="optioncarChar"/>
        </w:rPr>
        <w:t>V</w:t>
      </w:r>
    </w:p>
    <w:p w14:paraId="3506029F" w14:textId="108EE16D" w:rsidR="00356F8B" w:rsidRDefault="00D74E36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Nombre de points d’alimentation intégrés dans la borne</w:t>
      </w:r>
      <w:r w:rsidR="00FB1CA0">
        <w:t xml:space="preserve"> et pouvant être utilisés simultanément</w:t>
      </w:r>
      <w:r>
        <w:t xml:space="preserve"> : </w:t>
      </w:r>
      <w:r w:rsidRPr="00B10357">
        <w:rPr>
          <w:color w:val="FF0000"/>
        </w:rPr>
        <w:t xml:space="preserve">1 </w:t>
      </w:r>
      <w:r>
        <w:t xml:space="preserve">(par défaut) </w:t>
      </w:r>
      <w:r w:rsidRPr="00B10357">
        <w:rPr>
          <w:color w:val="FF0000"/>
        </w:rPr>
        <w:t>/ 2</w:t>
      </w:r>
    </w:p>
    <w:p w14:paraId="6EE202FE" w14:textId="2D1A23D1" w:rsidR="00D74E36" w:rsidRDefault="001937B3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Indice de protection minimum</w:t>
      </w:r>
      <w:r w:rsidR="00D74E36">
        <w:t> </w:t>
      </w:r>
      <w:r w:rsidR="00FB1CA0">
        <w:t xml:space="preserve">pour une pose en intérieur </w:t>
      </w:r>
      <w:r w:rsidR="00D74E36">
        <w:t xml:space="preserve">: </w:t>
      </w:r>
      <w:r w:rsidR="00CE61B2">
        <w:t>IP</w:t>
      </w:r>
      <w:r w:rsidR="00FB1CA0">
        <w:t>44</w:t>
      </w:r>
      <w:r w:rsidR="00CE61B2">
        <w:t>-IK07</w:t>
      </w:r>
      <w:r>
        <w:t>.</w:t>
      </w:r>
    </w:p>
    <w:p w14:paraId="243DBFE6" w14:textId="495CAD07" w:rsidR="00FB1CA0" w:rsidRDefault="00FB1CA0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Indice de protection minimum pour une pose en extérieur : </w:t>
      </w:r>
      <w:r w:rsidR="004E4BC9" w:rsidRPr="004E4BC9">
        <w:t>IP55IP54-IK07IK10</w:t>
      </w:r>
      <w:r>
        <w:t>.</w:t>
      </w:r>
    </w:p>
    <w:p w14:paraId="5B49AA2B" w14:textId="3ECE1F47" w:rsidR="00CE61B2" w:rsidRDefault="00AA7C56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Température d'utilisation </w:t>
      </w:r>
      <w:r w:rsidR="007F7580">
        <w:t xml:space="preserve">en </w:t>
      </w:r>
      <w:r w:rsidRPr="00655DDE">
        <w:t>extérieur</w:t>
      </w:r>
      <w:r w:rsidR="00CE61B2">
        <w:t> </w:t>
      </w:r>
      <w:r w:rsidR="00CE61B2">
        <w:rPr>
          <w:rStyle w:val="optioncarChar"/>
          <w:color w:val="auto"/>
        </w:rPr>
        <w:t xml:space="preserve">: </w:t>
      </w:r>
      <w:r w:rsidRPr="00655DDE">
        <w:rPr>
          <w:rStyle w:val="optioncarChar"/>
        </w:rPr>
        <w:t>Class</w:t>
      </w:r>
      <w:r w:rsidR="00CE61B2" w:rsidRPr="00B10357">
        <w:rPr>
          <w:rStyle w:val="optioncarChar"/>
        </w:rPr>
        <w:t>e</w:t>
      </w:r>
      <w:r w:rsidRPr="00655DDE">
        <w:rPr>
          <w:rStyle w:val="optioncarChar"/>
        </w:rPr>
        <w:t xml:space="preserve"> 3K6 conforme </w:t>
      </w:r>
      <w:r w:rsidR="00CE61B2" w:rsidRPr="00B10357">
        <w:rPr>
          <w:rStyle w:val="optioncarChar"/>
        </w:rPr>
        <w:t xml:space="preserve">à la </w:t>
      </w:r>
      <w:r w:rsidRPr="00655DDE">
        <w:rPr>
          <w:rStyle w:val="optioncarChar"/>
        </w:rPr>
        <w:t>[NBN EN 60721-3-3]</w:t>
      </w:r>
      <w:r w:rsidR="00CE61B2" w:rsidRPr="00B10357">
        <w:rPr>
          <w:rStyle w:val="optioncarChar"/>
        </w:rPr>
        <w:t xml:space="preserve"> de</w:t>
      </w:r>
      <w:r w:rsidRPr="00655DDE">
        <w:rPr>
          <w:rStyle w:val="optioncarChar"/>
        </w:rPr>
        <w:t xml:space="preserve"> </w:t>
      </w:r>
      <w:r>
        <w:rPr>
          <w:rStyle w:val="optioncarChar"/>
        </w:rPr>
        <w:t>-25°C à +55°C</w:t>
      </w:r>
      <w:r>
        <w:t xml:space="preserve"> (par défaut) </w:t>
      </w:r>
      <w:r>
        <w:rPr>
          <w:rStyle w:val="optioncarChar"/>
        </w:rPr>
        <w:t>/***</w:t>
      </w:r>
      <w:r>
        <w:br/>
        <w:t xml:space="preserve">Classe de corrosion (poste extérieur) conforme </w:t>
      </w:r>
      <w:r w:rsidR="008E47C6">
        <w:t>[</w:t>
      </w:r>
      <w:r>
        <w:t>IEC 60721-3-3</w:t>
      </w:r>
      <w:r w:rsidR="008E47C6">
        <w:t>]</w:t>
      </w:r>
      <w:r>
        <w:t xml:space="preserve">) : </w:t>
      </w:r>
      <w:r>
        <w:rPr>
          <w:rStyle w:val="optioncarChar"/>
        </w:rPr>
        <w:t>3C3</w:t>
      </w:r>
      <w:r>
        <w:t xml:space="preserve"> (par défaut) </w:t>
      </w:r>
      <w:r>
        <w:rPr>
          <w:rStyle w:val="optioncarChar"/>
        </w:rPr>
        <w:t>/ 4C3 / ***</w:t>
      </w:r>
      <w:r>
        <w:br/>
        <w:t xml:space="preserve">Niveau sonore : </w:t>
      </w:r>
      <w:r w:rsidRPr="00B10357">
        <w:rPr>
          <w:color w:val="FF0000"/>
        </w:rPr>
        <w:t>***</w:t>
      </w:r>
      <w:r>
        <w:t xml:space="preserve"> dB à 1 m</w:t>
      </w:r>
      <w:r>
        <w:br/>
      </w:r>
      <w:r w:rsidR="00CE61B2">
        <w:t xml:space="preserve">La borne </w:t>
      </w:r>
      <w:r w:rsidR="00655DDE">
        <w:t>intègre</w:t>
      </w:r>
      <w:r w:rsidR="00CE61B2">
        <w:t xml:space="preserve"> également une prise ordinaire permettant le mode de charge 2 totalement intégré et géré par la borne (un seul mode de charge p</w:t>
      </w:r>
      <w:r w:rsidR="00655DDE">
        <w:t>eut</w:t>
      </w:r>
      <w:r w:rsidR="00CE61B2">
        <w:t xml:space="preserve"> être utilisé lors de la charge) : </w:t>
      </w:r>
      <w:r w:rsidR="00CE61B2" w:rsidRPr="00B10357">
        <w:rPr>
          <w:color w:val="FF0000"/>
        </w:rPr>
        <w:t xml:space="preserve">non </w:t>
      </w:r>
      <w:r w:rsidR="00CE61B2">
        <w:t xml:space="preserve">(par défaut) </w:t>
      </w:r>
      <w:r w:rsidR="00CE61B2" w:rsidRPr="00B10357">
        <w:rPr>
          <w:color w:val="FF0000"/>
        </w:rPr>
        <w:t>/ oui</w:t>
      </w:r>
      <w:r w:rsidR="00CE61B2">
        <w:t>.</w:t>
      </w:r>
    </w:p>
    <w:p w14:paraId="04B1129E" w14:textId="42E97A45" w:rsidR="00CE61B2" w:rsidRDefault="00734598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Système de déverrouillage : </w:t>
      </w:r>
      <w:r w:rsidRPr="00B10357">
        <w:rPr>
          <w:color w:val="FF0000"/>
        </w:rPr>
        <w:t xml:space="preserve">carte RFID </w:t>
      </w:r>
      <w:r>
        <w:t xml:space="preserve">(par défaut) </w:t>
      </w:r>
      <w:r w:rsidRPr="00B10357">
        <w:rPr>
          <w:color w:val="FF0000"/>
        </w:rPr>
        <w:t xml:space="preserve">/ clé / </w:t>
      </w:r>
      <w:r w:rsidR="004E4BC9">
        <w:rPr>
          <w:color w:val="FF0000"/>
        </w:rPr>
        <w:t xml:space="preserve">application smartphone / </w:t>
      </w:r>
      <w:r w:rsidRPr="00B10357">
        <w:rPr>
          <w:color w:val="FF0000"/>
        </w:rPr>
        <w:t>aucun</w:t>
      </w:r>
    </w:p>
    <w:p w14:paraId="256BB10A" w14:textId="4122D31A" w:rsidR="00734598" w:rsidRDefault="00734598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8"/>
      </w:pPr>
      <w:r>
        <w:t>(Soit par défaut)</w:t>
      </w:r>
    </w:p>
    <w:p w14:paraId="70096695" w14:textId="2A1F1ED8" w:rsidR="00734598" w:rsidRPr="00B10357" w:rsidRDefault="00734598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8"/>
        <w:rPr>
          <w:color w:val="00B0F0"/>
        </w:rPr>
      </w:pPr>
      <w:r w:rsidRPr="00B10357">
        <w:rPr>
          <w:color w:val="00B0F0"/>
          <w:u w:val="single"/>
        </w:rPr>
        <w:t>Carte RFID</w:t>
      </w:r>
      <w:r w:rsidRPr="00B10357">
        <w:rPr>
          <w:color w:val="00B0F0"/>
        </w:rPr>
        <w:t> : la borne est équipée d’un lecteur de carte RFID et 10 cartes sont fournies par borne.</w:t>
      </w:r>
    </w:p>
    <w:p w14:paraId="06EF0C67" w14:textId="264CDFC6" w:rsidR="00734598" w:rsidRDefault="00734598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8"/>
      </w:pPr>
      <w:r>
        <w:t>(Soit)</w:t>
      </w:r>
    </w:p>
    <w:p w14:paraId="6E3183C0" w14:textId="0E48CE01" w:rsidR="00734598" w:rsidRPr="00B10357" w:rsidRDefault="00734598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8"/>
        <w:rPr>
          <w:color w:val="00B0F0"/>
        </w:rPr>
      </w:pPr>
      <w:r w:rsidRPr="00B10357">
        <w:rPr>
          <w:color w:val="00B0F0"/>
          <w:u w:val="single"/>
        </w:rPr>
        <w:t>Clé</w:t>
      </w:r>
      <w:r w:rsidRPr="00B10357">
        <w:rPr>
          <w:color w:val="00B0F0"/>
        </w:rPr>
        <w:t> : la borne est équipée d’un système de verrouillage-déverrouillage par clé et 2 clés sont fournies par borne.</w:t>
      </w:r>
    </w:p>
    <w:p w14:paraId="4B318F36" w14:textId="77777777" w:rsidR="004E4BC9" w:rsidRDefault="004E4BC9" w:rsidP="004E4B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8"/>
      </w:pPr>
      <w:r>
        <w:t>(Soit)</w:t>
      </w:r>
    </w:p>
    <w:p w14:paraId="6823B0A1" w14:textId="77777777" w:rsidR="004E4BC9" w:rsidRPr="004E4BC9" w:rsidRDefault="004E4BC9" w:rsidP="004E4B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8"/>
        <w:rPr>
          <w:color w:val="00B0F0"/>
        </w:rPr>
      </w:pPr>
      <w:r w:rsidRPr="004E4BC9">
        <w:rPr>
          <w:color w:val="00B0F0"/>
          <w:u w:val="single"/>
        </w:rPr>
        <w:t>Application smartphone</w:t>
      </w:r>
      <w:r w:rsidRPr="004E4BC9">
        <w:rPr>
          <w:color w:val="00B0F0"/>
        </w:rPr>
        <w:t xml:space="preserve"> : la borne est équipée d’un système de déverrouillage via une application smartphone disponible gratuitement.</w:t>
      </w:r>
      <w:r w:rsidRPr="004E4BC9">
        <w:rPr>
          <w:color w:val="00B0F0"/>
        </w:rPr>
        <w:t xml:space="preserve"> </w:t>
      </w:r>
    </w:p>
    <w:p w14:paraId="1A13B90F" w14:textId="59C7FC37" w:rsidR="00734598" w:rsidRDefault="00734598" w:rsidP="004E4B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8"/>
      </w:pPr>
      <w:r>
        <w:t>(Soit)</w:t>
      </w:r>
    </w:p>
    <w:p w14:paraId="430D720E" w14:textId="0F2C6D9C" w:rsidR="00734598" w:rsidRPr="00B10357" w:rsidRDefault="00734598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8"/>
        <w:rPr>
          <w:color w:val="00B0F0"/>
        </w:rPr>
      </w:pPr>
      <w:r w:rsidRPr="00B10357">
        <w:rPr>
          <w:color w:val="00B0F0"/>
          <w:u w:val="single"/>
        </w:rPr>
        <w:lastRenderedPageBreak/>
        <w:t>Aucun</w:t>
      </w:r>
      <w:r w:rsidRPr="00B10357">
        <w:rPr>
          <w:color w:val="00B0F0"/>
        </w:rPr>
        <w:t> : la borne est fonctionnelle sans devoir être préalablement déverrouillée par l’utilisateur.</w:t>
      </w:r>
    </w:p>
    <w:p w14:paraId="42F2D77C" w14:textId="55DAFE44" w:rsidR="00EA49A6" w:rsidRDefault="00EA49A6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La borne dispose d’une fonction intelligente de répartition de puissance (smart charging) : </w:t>
      </w:r>
      <w:r w:rsidRPr="00B10357">
        <w:rPr>
          <w:color w:val="FF0000"/>
        </w:rPr>
        <w:t xml:space="preserve">non </w:t>
      </w:r>
      <w:r>
        <w:t xml:space="preserve">(par défaut) </w:t>
      </w:r>
      <w:r w:rsidRPr="00B10357">
        <w:rPr>
          <w:color w:val="FF0000"/>
        </w:rPr>
        <w:t>/ oui</w:t>
      </w:r>
      <w:r>
        <w:t>.</w:t>
      </w:r>
    </w:p>
    <w:p w14:paraId="40F1E698" w14:textId="46EB10DD" w:rsidR="00F5344A" w:rsidRDefault="00EA49A6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En cas d’installation de plusieurs bornes pour un même bâtiment, les bornes disposent de la fonction de répartition de charge (load balancing).</w:t>
      </w:r>
    </w:p>
    <w:p w14:paraId="5CA0BBFA" w14:textId="1EB92CA1" w:rsidR="00CE61B2" w:rsidRDefault="00F5344A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La borne dispose d’une fonction d’écrêtage du pic de consommation (peak shaving) : </w:t>
      </w:r>
      <w:r w:rsidRPr="00B10357">
        <w:rPr>
          <w:color w:val="FF0000"/>
        </w:rPr>
        <w:t xml:space="preserve">non </w:t>
      </w:r>
      <w:r>
        <w:t xml:space="preserve">(par défaut) </w:t>
      </w:r>
      <w:r w:rsidRPr="00B10357">
        <w:rPr>
          <w:color w:val="FF0000"/>
        </w:rPr>
        <w:t>/ oui</w:t>
      </w:r>
      <w:r>
        <w:t>.</w:t>
      </w:r>
    </w:p>
    <w:p w14:paraId="23ACBDCF" w14:textId="33617BB7" w:rsidR="00FB1CA0" w:rsidRPr="004E4BC9" w:rsidRDefault="004E4BC9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4E4BC9">
        <w:t xml:space="preserve">Garantie de </w:t>
      </w:r>
      <w:r w:rsidRPr="004E4BC9">
        <w:rPr>
          <w:color w:val="FF0000"/>
        </w:rPr>
        <w:t xml:space="preserve">3 </w:t>
      </w:r>
      <w:r w:rsidRPr="004E4BC9">
        <w:t xml:space="preserve">(par défaut) </w:t>
      </w:r>
      <w:r w:rsidRPr="004E4BC9">
        <w:rPr>
          <w:color w:val="FF0000"/>
        </w:rPr>
        <w:t>/ 5</w:t>
      </w:r>
      <w:r w:rsidRPr="004E4BC9">
        <w:t xml:space="preserve"> ans.</w:t>
      </w:r>
    </w:p>
    <w:p w14:paraId="16B6ABDF" w14:textId="14F68373" w:rsidR="00B747C8" w:rsidRPr="00B10357" w:rsidRDefault="00B747C8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u w:val="single"/>
        </w:rPr>
      </w:pPr>
      <w:r>
        <w:rPr>
          <w:u w:val="single"/>
        </w:rPr>
        <w:t xml:space="preserve">Borne </w:t>
      </w:r>
      <w:r w:rsidRPr="00B10357">
        <w:rPr>
          <w:u w:val="single"/>
        </w:rPr>
        <w:t>pour mode</w:t>
      </w:r>
      <w:r w:rsidR="00DA4098">
        <w:rPr>
          <w:u w:val="single"/>
        </w:rPr>
        <w:t>s</w:t>
      </w:r>
      <w:r w:rsidRPr="00B10357">
        <w:rPr>
          <w:u w:val="single"/>
        </w:rPr>
        <w:t xml:space="preserve"> de charge </w:t>
      </w:r>
      <w:r w:rsidR="005C63E8">
        <w:rPr>
          <w:u w:val="single"/>
        </w:rPr>
        <w:t xml:space="preserve">3 et </w:t>
      </w:r>
      <w:r>
        <w:rPr>
          <w:u w:val="single"/>
        </w:rPr>
        <w:t>4</w:t>
      </w:r>
      <w:r w:rsidRPr="00B10357">
        <w:rPr>
          <w:u w:val="single"/>
        </w:rPr>
        <w:t xml:space="preserve"> : </w:t>
      </w:r>
    </w:p>
    <w:p w14:paraId="78EC3BC3" w14:textId="35D5EB0F" w:rsidR="00B747C8" w:rsidRDefault="00B747C8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Type (montage) : borne sur pied.</w:t>
      </w:r>
    </w:p>
    <w:p w14:paraId="78059B1E" w14:textId="77777777" w:rsidR="00B747C8" w:rsidRDefault="00B747C8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Les prises et bornes sont conformes aux normes [EN 62196-1], [EN 62196-2] et [EN 62196-3].  </w:t>
      </w:r>
    </w:p>
    <w:p w14:paraId="0760F18A" w14:textId="77777777" w:rsidR="00B747C8" w:rsidRDefault="00B747C8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La borne est équipée :</w:t>
      </w:r>
    </w:p>
    <w:p w14:paraId="19BD990F" w14:textId="49FDDBBD" w:rsidR="00B747C8" w:rsidRDefault="00B747C8" w:rsidP="00593BA8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D’une prise </w:t>
      </w:r>
      <w:r w:rsidR="006F6E88">
        <w:t xml:space="preserve">(câblée ou non) </w:t>
      </w:r>
      <w:r>
        <w:t>de type 2 suivant la [EN 62196-2]</w:t>
      </w:r>
    </w:p>
    <w:p w14:paraId="13135964" w14:textId="1308F1B8" w:rsidR="00B747C8" w:rsidRDefault="00B747C8" w:rsidP="00593BA8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Et d’une prise </w:t>
      </w:r>
      <w:r w:rsidR="006F6E88">
        <w:t xml:space="preserve">câblée </w:t>
      </w:r>
      <w:r>
        <w:t xml:space="preserve">de type Combo CCS 2.0 </w:t>
      </w:r>
      <w:r w:rsidR="00D40D6D">
        <w:t xml:space="preserve">(Combined Charging System) </w:t>
      </w:r>
      <w:r>
        <w:t>suivant la [EN 62196-3].</w:t>
      </w:r>
    </w:p>
    <w:p w14:paraId="19A5999C" w14:textId="77777777" w:rsidR="00B747C8" w:rsidRDefault="00B747C8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L'état de fonctionnement du chargeur sera clairement signalé par un ou des indicateurs lumineux ou afficheur (mode stand-by ; en charge ; chargé ; disfonctionnement ...).</w:t>
      </w:r>
    </w:p>
    <w:p w14:paraId="69F1C7E4" w14:textId="46EC449D" w:rsidR="00B91EB0" w:rsidRDefault="00B747C8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optioncarChar"/>
          <w:color w:val="auto"/>
        </w:rPr>
      </w:pPr>
      <w:r w:rsidRPr="00B10357">
        <w:rPr>
          <w:rStyle w:val="optioncarChar"/>
          <w:color w:val="auto"/>
        </w:rPr>
        <w:t xml:space="preserve">Puissance </w:t>
      </w:r>
      <w:r>
        <w:rPr>
          <w:rStyle w:val="optioncarChar"/>
          <w:color w:val="auto"/>
        </w:rPr>
        <w:t>par prise</w:t>
      </w:r>
      <w:r w:rsidR="00B91EB0">
        <w:rPr>
          <w:rStyle w:val="optioncarChar"/>
          <w:color w:val="auto"/>
        </w:rPr>
        <w:t xml:space="preserve"> de type 2</w:t>
      </w:r>
      <w:r>
        <w:rPr>
          <w:rStyle w:val="optioncarChar"/>
          <w:color w:val="auto"/>
        </w:rPr>
        <w:t xml:space="preserve"> </w:t>
      </w:r>
      <w:r w:rsidRPr="00B10357">
        <w:rPr>
          <w:rStyle w:val="optioncarChar"/>
          <w:color w:val="auto"/>
        </w:rPr>
        <w:t xml:space="preserve">: </w:t>
      </w:r>
      <w:r w:rsidRPr="00593BA8">
        <w:rPr>
          <w:rStyle w:val="optioncarChar"/>
          <w:color w:val="auto"/>
        </w:rPr>
        <w:t>22</w:t>
      </w:r>
      <w:r w:rsidR="006F6E88">
        <w:rPr>
          <w:rStyle w:val="optioncarChar"/>
          <w:color w:val="auto"/>
        </w:rPr>
        <w:t xml:space="preserve"> </w:t>
      </w:r>
      <w:r w:rsidRPr="00593BA8">
        <w:rPr>
          <w:rStyle w:val="optioncarChar"/>
          <w:color w:val="auto"/>
        </w:rPr>
        <w:t>kW</w:t>
      </w:r>
      <w:r w:rsidR="00B91EB0" w:rsidRPr="00593BA8">
        <w:rPr>
          <w:rStyle w:val="optioncarChar"/>
          <w:color w:val="auto"/>
        </w:rPr>
        <w:t xml:space="preserve">. </w:t>
      </w:r>
      <w:r w:rsidR="00B91EB0">
        <w:rPr>
          <w:rStyle w:val="optioncarChar"/>
          <w:color w:val="auto"/>
        </w:rPr>
        <w:br/>
        <w:t>Puissance minimale par prise de type Combo</w:t>
      </w:r>
      <w:r w:rsidR="00D40D6D">
        <w:rPr>
          <w:rStyle w:val="optioncarChar"/>
          <w:color w:val="auto"/>
        </w:rPr>
        <w:t xml:space="preserve"> </w:t>
      </w:r>
      <w:r w:rsidR="00B91EB0">
        <w:rPr>
          <w:rStyle w:val="optioncarChar"/>
          <w:color w:val="auto"/>
        </w:rPr>
        <w:t xml:space="preserve">: </w:t>
      </w:r>
      <w:r w:rsidR="00B91EB0" w:rsidRPr="00593BA8">
        <w:rPr>
          <w:rStyle w:val="optioncarChar"/>
        </w:rPr>
        <w:t>50</w:t>
      </w:r>
      <w:r w:rsidR="00B91EB0">
        <w:rPr>
          <w:rStyle w:val="optioncarChar"/>
          <w:color w:val="auto"/>
        </w:rPr>
        <w:t xml:space="preserve"> </w:t>
      </w:r>
      <w:r w:rsidR="006F6E88">
        <w:rPr>
          <w:rStyle w:val="optioncarChar"/>
          <w:color w:val="auto"/>
        </w:rPr>
        <w:t xml:space="preserve">(par défaut) </w:t>
      </w:r>
      <w:r w:rsidR="006F6E88" w:rsidRPr="00593BA8">
        <w:rPr>
          <w:rStyle w:val="optioncarChar"/>
        </w:rPr>
        <w:t xml:space="preserve">/ 80 </w:t>
      </w:r>
      <w:r w:rsidR="00B91EB0" w:rsidRPr="00593BA8">
        <w:rPr>
          <w:rStyle w:val="optioncarChar"/>
        </w:rPr>
        <w:t>/ 110 / 350</w:t>
      </w:r>
      <w:r w:rsidR="00B91EB0">
        <w:rPr>
          <w:rStyle w:val="optioncarChar"/>
          <w:color w:val="auto"/>
        </w:rPr>
        <w:t xml:space="preserve"> kW</w:t>
      </w:r>
      <w:r w:rsidR="006F6E88">
        <w:rPr>
          <w:rStyle w:val="optioncarChar"/>
          <w:color w:val="auto"/>
        </w:rPr>
        <w:t>.</w:t>
      </w:r>
    </w:p>
    <w:p w14:paraId="0102C241" w14:textId="6C8829FA" w:rsidR="00B747C8" w:rsidRDefault="00B747C8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Matériau : </w:t>
      </w:r>
      <w:r w:rsidRPr="00593BA8">
        <w:t>métallique (inox)</w:t>
      </w:r>
      <w:r>
        <w:br/>
        <w:t>Tension nominale d’alimentation de la borne :</w:t>
      </w:r>
      <w:r>
        <w:rPr>
          <w:rStyle w:val="optioncarChar"/>
        </w:rPr>
        <w:t xml:space="preserve"> </w:t>
      </w:r>
      <w:r w:rsidR="006F6E88">
        <w:rPr>
          <w:rStyle w:val="optioncarChar"/>
        </w:rPr>
        <w:t>***</w:t>
      </w:r>
      <w:r>
        <w:t xml:space="preserve"> </w:t>
      </w:r>
      <w:r w:rsidR="006F6E88">
        <w:t>V</w:t>
      </w:r>
      <w:r>
        <w:t xml:space="preserve"> </w:t>
      </w:r>
      <w:r w:rsidR="006F6E88">
        <w:t xml:space="preserve"> (</w:t>
      </w:r>
      <w:r w:rsidR="006F6E88">
        <w:rPr>
          <w:rStyle w:val="optioncarChar"/>
        </w:rPr>
        <w:t>AC / DC</w:t>
      </w:r>
      <w:r w:rsidR="006F6E88" w:rsidRPr="00593BA8">
        <w:t>)</w:t>
      </w:r>
    </w:p>
    <w:p w14:paraId="61E2DD27" w14:textId="5DDFEE54" w:rsidR="00B747C8" w:rsidRDefault="00B747C8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Nombre de points d’alimentation intégrés dans la borne et pouvant être utilisés simultanément</w:t>
      </w:r>
      <w:r w:rsidR="00B91EB0">
        <w:t> : 1</w:t>
      </w:r>
    </w:p>
    <w:p w14:paraId="574AFB15" w14:textId="77777777" w:rsidR="00B747C8" w:rsidRDefault="00B747C8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Indice de protection minimum pour une pose en intérieur : IP44-IK07.</w:t>
      </w:r>
    </w:p>
    <w:p w14:paraId="728F38BB" w14:textId="77777777" w:rsidR="00B747C8" w:rsidRDefault="00B747C8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Indice de protection minimum pour une pose en extérieur : IP55-IK07.</w:t>
      </w:r>
    </w:p>
    <w:p w14:paraId="7B80518B" w14:textId="77777777" w:rsidR="00B747C8" w:rsidRDefault="00B747C8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Température d'utilisation en </w:t>
      </w:r>
      <w:r w:rsidRPr="00655DDE">
        <w:t>extérieur</w:t>
      </w:r>
      <w:r>
        <w:t> </w:t>
      </w:r>
      <w:r>
        <w:rPr>
          <w:rStyle w:val="optioncarChar"/>
          <w:color w:val="auto"/>
        </w:rPr>
        <w:t xml:space="preserve">: </w:t>
      </w:r>
      <w:r w:rsidRPr="00655DDE">
        <w:rPr>
          <w:rStyle w:val="optioncarChar"/>
        </w:rPr>
        <w:t>Class</w:t>
      </w:r>
      <w:r w:rsidRPr="00B10357">
        <w:rPr>
          <w:rStyle w:val="optioncarChar"/>
        </w:rPr>
        <w:t>e</w:t>
      </w:r>
      <w:r w:rsidRPr="00655DDE">
        <w:rPr>
          <w:rStyle w:val="optioncarChar"/>
        </w:rPr>
        <w:t xml:space="preserve"> 3K6 conforme </w:t>
      </w:r>
      <w:r w:rsidRPr="00B10357">
        <w:rPr>
          <w:rStyle w:val="optioncarChar"/>
        </w:rPr>
        <w:t xml:space="preserve">à la </w:t>
      </w:r>
      <w:r w:rsidRPr="00655DDE">
        <w:rPr>
          <w:rStyle w:val="optioncarChar"/>
        </w:rPr>
        <w:t>[NBN EN 60721-3-3]</w:t>
      </w:r>
      <w:r w:rsidRPr="00B10357">
        <w:rPr>
          <w:rStyle w:val="optioncarChar"/>
        </w:rPr>
        <w:t xml:space="preserve"> de</w:t>
      </w:r>
      <w:r w:rsidRPr="00655DDE">
        <w:rPr>
          <w:rStyle w:val="optioncarChar"/>
        </w:rPr>
        <w:t xml:space="preserve"> </w:t>
      </w:r>
      <w:r>
        <w:rPr>
          <w:rStyle w:val="optioncarChar"/>
        </w:rPr>
        <w:t>-25°C à +55°C</w:t>
      </w:r>
      <w:r>
        <w:t xml:space="preserve"> (par défaut) </w:t>
      </w:r>
      <w:r>
        <w:rPr>
          <w:rStyle w:val="optioncarChar"/>
        </w:rPr>
        <w:t>/***</w:t>
      </w:r>
      <w:r>
        <w:br/>
        <w:t xml:space="preserve">Classe de corrosion (poste extérieur) conforme [IEC 60721-3-3]) : </w:t>
      </w:r>
      <w:r>
        <w:rPr>
          <w:rStyle w:val="optioncarChar"/>
        </w:rPr>
        <w:t>3C3</w:t>
      </w:r>
      <w:r>
        <w:t xml:space="preserve"> (par défaut) </w:t>
      </w:r>
      <w:r>
        <w:rPr>
          <w:rStyle w:val="optioncarChar"/>
        </w:rPr>
        <w:t>/ 4C3 / ***</w:t>
      </w:r>
      <w:r>
        <w:br/>
        <w:t xml:space="preserve">Niveau sonore : </w:t>
      </w:r>
      <w:r w:rsidRPr="00B10357">
        <w:rPr>
          <w:color w:val="FF0000"/>
        </w:rPr>
        <w:t>***</w:t>
      </w:r>
      <w:r>
        <w:t xml:space="preserve"> dB à 1 m</w:t>
      </w:r>
      <w:r>
        <w:br/>
        <w:t xml:space="preserve">La borne intègre également une prise ordinaire permettant le mode de charge 2 totalement intégré et géré par la borne (un seul mode de charge peut être utilisé lors de la charge) : </w:t>
      </w:r>
      <w:r w:rsidRPr="00B10357">
        <w:rPr>
          <w:color w:val="FF0000"/>
        </w:rPr>
        <w:t xml:space="preserve">non </w:t>
      </w:r>
      <w:r>
        <w:t xml:space="preserve">(par défaut) </w:t>
      </w:r>
      <w:r w:rsidRPr="00B10357">
        <w:rPr>
          <w:color w:val="FF0000"/>
        </w:rPr>
        <w:t>/ oui</w:t>
      </w:r>
      <w:r>
        <w:t>.</w:t>
      </w:r>
    </w:p>
    <w:p w14:paraId="04C54C31" w14:textId="6F7CA77B" w:rsidR="00B747C8" w:rsidRDefault="00B747C8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Système de déverrouillage : </w:t>
      </w:r>
      <w:r w:rsidRPr="00B10357">
        <w:rPr>
          <w:color w:val="FF0000"/>
        </w:rPr>
        <w:t xml:space="preserve">carte RFID </w:t>
      </w:r>
      <w:r>
        <w:t xml:space="preserve">(par défaut) </w:t>
      </w:r>
      <w:r w:rsidRPr="00B10357">
        <w:rPr>
          <w:color w:val="FF0000"/>
        </w:rPr>
        <w:t xml:space="preserve">/ clé </w:t>
      </w:r>
      <w:r w:rsidR="004E4BC9" w:rsidRPr="00B10357">
        <w:rPr>
          <w:color w:val="FF0000"/>
        </w:rPr>
        <w:t xml:space="preserve">/ </w:t>
      </w:r>
      <w:r w:rsidR="004E4BC9">
        <w:rPr>
          <w:color w:val="FF0000"/>
        </w:rPr>
        <w:t xml:space="preserve">application smartphone </w:t>
      </w:r>
      <w:r w:rsidRPr="00B10357">
        <w:rPr>
          <w:color w:val="FF0000"/>
        </w:rPr>
        <w:t>/ aucun</w:t>
      </w:r>
    </w:p>
    <w:p w14:paraId="2008AFAC" w14:textId="77777777" w:rsidR="00B747C8" w:rsidRDefault="00B747C8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8"/>
      </w:pPr>
      <w:r>
        <w:t>(Soit par défaut)</w:t>
      </w:r>
    </w:p>
    <w:p w14:paraId="084811FC" w14:textId="77777777" w:rsidR="00B747C8" w:rsidRPr="00B10357" w:rsidRDefault="00B747C8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8"/>
        <w:rPr>
          <w:color w:val="00B0F0"/>
        </w:rPr>
      </w:pPr>
      <w:r w:rsidRPr="00B10357">
        <w:rPr>
          <w:color w:val="00B0F0"/>
          <w:u w:val="single"/>
        </w:rPr>
        <w:t>Carte RFID</w:t>
      </w:r>
      <w:r w:rsidRPr="00B10357">
        <w:rPr>
          <w:color w:val="00B0F0"/>
        </w:rPr>
        <w:t> : la borne est équipée d’un lecteur de carte RFID et 10 cartes sont fournies par borne.</w:t>
      </w:r>
    </w:p>
    <w:p w14:paraId="4FE6A260" w14:textId="77777777" w:rsidR="00B747C8" w:rsidRDefault="00B747C8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8"/>
      </w:pPr>
      <w:r>
        <w:t>(Soit)</w:t>
      </w:r>
    </w:p>
    <w:p w14:paraId="5DF00EB2" w14:textId="77777777" w:rsidR="00B747C8" w:rsidRPr="00B10357" w:rsidRDefault="00B747C8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8"/>
        <w:rPr>
          <w:color w:val="00B0F0"/>
        </w:rPr>
      </w:pPr>
      <w:r w:rsidRPr="00B10357">
        <w:rPr>
          <w:color w:val="00B0F0"/>
          <w:u w:val="single"/>
        </w:rPr>
        <w:t>Clé</w:t>
      </w:r>
      <w:r w:rsidRPr="00B10357">
        <w:rPr>
          <w:color w:val="00B0F0"/>
        </w:rPr>
        <w:t> : la borne est équipée d’un système de verrouillage-déverrouillage par clé et 2 clés sont fournies par borne.</w:t>
      </w:r>
    </w:p>
    <w:p w14:paraId="1C31D97F" w14:textId="77777777" w:rsidR="004E4BC9" w:rsidRDefault="004E4BC9" w:rsidP="004E4B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8"/>
      </w:pPr>
      <w:r>
        <w:t>(Soit)</w:t>
      </w:r>
    </w:p>
    <w:p w14:paraId="3F71A392" w14:textId="77777777" w:rsidR="004E4BC9" w:rsidRPr="004E4BC9" w:rsidRDefault="004E4BC9" w:rsidP="004E4B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8"/>
        <w:rPr>
          <w:color w:val="00B0F0"/>
        </w:rPr>
      </w:pPr>
      <w:r w:rsidRPr="004E4BC9">
        <w:rPr>
          <w:color w:val="00B0F0"/>
          <w:u w:val="single"/>
        </w:rPr>
        <w:t>Application smartphone</w:t>
      </w:r>
      <w:r w:rsidRPr="004E4BC9">
        <w:rPr>
          <w:color w:val="00B0F0"/>
        </w:rPr>
        <w:t xml:space="preserve"> : la borne est équipée d’un système de déverrouillage via une application smartphone disponible gratuitement. </w:t>
      </w:r>
    </w:p>
    <w:p w14:paraId="5D70A9FD" w14:textId="77777777" w:rsidR="00B747C8" w:rsidRDefault="00B747C8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8"/>
      </w:pPr>
      <w:r>
        <w:t>(Soit)</w:t>
      </w:r>
    </w:p>
    <w:p w14:paraId="46363B42" w14:textId="77777777" w:rsidR="00B747C8" w:rsidRPr="00B10357" w:rsidRDefault="00B747C8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8"/>
        <w:rPr>
          <w:color w:val="00B0F0"/>
        </w:rPr>
      </w:pPr>
      <w:r w:rsidRPr="00B10357">
        <w:rPr>
          <w:color w:val="00B0F0"/>
          <w:u w:val="single"/>
        </w:rPr>
        <w:t>Aucun</w:t>
      </w:r>
      <w:r w:rsidRPr="00B10357">
        <w:rPr>
          <w:color w:val="00B0F0"/>
        </w:rPr>
        <w:t> : la borne est fonctionnelle sans devoir être préalablement déverrouillée par l’utilisateur.</w:t>
      </w:r>
    </w:p>
    <w:p w14:paraId="298C1F7B" w14:textId="77777777" w:rsidR="00B747C8" w:rsidRDefault="00B747C8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La borne dispose d’une fonction intelligente de répartition de puissance (smart charging) : </w:t>
      </w:r>
      <w:r w:rsidRPr="00B10357">
        <w:rPr>
          <w:color w:val="FF0000"/>
        </w:rPr>
        <w:t xml:space="preserve">non </w:t>
      </w:r>
      <w:r>
        <w:t xml:space="preserve">(par défaut) </w:t>
      </w:r>
      <w:r w:rsidRPr="00B10357">
        <w:rPr>
          <w:color w:val="FF0000"/>
        </w:rPr>
        <w:t>/ oui</w:t>
      </w:r>
      <w:r>
        <w:t>.</w:t>
      </w:r>
    </w:p>
    <w:p w14:paraId="7FA0769D" w14:textId="77777777" w:rsidR="00B747C8" w:rsidRDefault="00B747C8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En cas d’installation de plusieurs bornes pour un même bâtiment, les bornes disposent de la fonction de répartition de charge (load balancing).</w:t>
      </w:r>
    </w:p>
    <w:p w14:paraId="1A209FAB" w14:textId="5E2A75D3" w:rsidR="00B747C8" w:rsidRPr="00593BA8" w:rsidRDefault="00B747C8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optioncarChar"/>
          <w:color w:val="auto"/>
        </w:rPr>
      </w:pPr>
      <w:r>
        <w:t xml:space="preserve">La borne dispose d’une fonction d’écrêtage du pic de consommation (peak shaving) : </w:t>
      </w:r>
      <w:r w:rsidRPr="00B10357">
        <w:rPr>
          <w:color w:val="FF0000"/>
        </w:rPr>
        <w:t xml:space="preserve">non </w:t>
      </w:r>
      <w:r>
        <w:t xml:space="preserve">(par défaut) </w:t>
      </w:r>
      <w:r w:rsidRPr="00B10357">
        <w:rPr>
          <w:color w:val="FF0000"/>
        </w:rPr>
        <w:t>/ oui</w:t>
      </w:r>
      <w:r>
        <w:t>.</w:t>
      </w:r>
    </w:p>
    <w:p w14:paraId="49B313F8" w14:textId="77777777" w:rsidR="00C37BA5" w:rsidRPr="004E4BC9" w:rsidRDefault="00C37BA5" w:rsidP="00C37B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4E4BC9">
        <w:t xml:space="preserve">Garantie de </w:t>
      </w:r>
      <w:r w:rsidRPr="004E4BC9">
        <w:rPr>
          <w:color w:val="FF0000"/>
        </w:rPr>
        <w:t xml:space="preserve">3 </w:t>
      </w:r>
      <w:r w:rsidRPr="004E4BC9">
        <w:t xml:space="preserve">(par défaut) </w:t>
      </w:r>
      <w:r w:rsidRPr="004E4BC9">
        <w:rPr>
          <w:color w:val="FF0000"/>
        </w:rPr>
        <w:t>/ 5</w:t>
      </w:r>
      <w:r w:rsidRPr="004E4BC9">
        <w:t xml:space="preserve"> ans.</w:t>
      </w:r>
    </w:p>
    <w:p w14:paraId="1041A39A" w14:textId="77777777" w:rsidR="001E2986" w:rsidRDefault="00AA7C56">
      <w:pPr>
        <w:pStyle w:val="pheading"/>
      </w:pPr>
      <w:r>
        <w:t>EXÉCUTION / MISE EN ŒUVRE</w:t>
      </w:r>
    </w:p>
    <w:p w14:paraId="412E03AB" w14:textId="77777777" w:rsidR="001E2986" w:rsidRDefault="00AA7C56">
      <w:pPr>
        <w:pStyle w:val="pheading"/>
      </w:pPr>
      <w:r>
        <w:t>- Prescriptions générales</w:t>
      </w:r>
    </w:p>
    <w:p w14:paraId="2B269666" w14:textId="77777777" w:rsidR="00593BA8" w:rsidRPr="00593BA8" w:rsidRDefault="00593BA8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u w:val="single"/>
        </w:rPr>
      </w:pPr>
      <w:r w:rsidRPr="00593BA8">
        <w:rPr>
          <w:u w:val="single"/>
        </w:rPr>
        <w:t>Complété comme suit :</w:t>
      </w:r>
    </w:p>
    <w:p w14:paraId="34B981E7" w14:textId="3E80C0F1" w:rsidR="001E2986" w:rsidRDefault="00AA7C56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Un circuit séparé </w:t>
      </w:r>
      <w:r w:rsidR="002D4770">
        <w:t xml:space="preserve">à partir du tableau électrique est </w:t>
      </w:r>
      <w:r>
        <w:t>dédié au point de recharge</w:t>
      </w:r>
      <w:r w:rsidR="002D4770">
        <w:t xml:space="preserve"> et protégé par un dispositif de protection de ligne et de personnes</w:t>
      </w:r>
      <w:r>
        <w:t>.</w:t>
      </w:r>
    </w:p>
    <w:p w14:paraId="6B95BC31" w14:textId="77777777" w:rsidR="001E2986" w:rsidRDefault="00AA7C56">
      <w:pPr>
        <w:pStyle w:val="pheading"/>
      </w:pPr>
      <w:r>
        <w:t>DOCUMENTS DE RÉFÉRENCE COMPLÉMENTAIRES</w:t>
      </w:r>
    </w:p>
    <w:p w14:paraId="6A6198C3" w14:textId="7BF9AB87" w:rsidR="001E2986" w:rsidRDefault="00AA7C56">
      <w:pPr>
        <w:pStyle w:val="pheading"/>
      </w:pPr>
      <w:r>
        <w:t>- Matériau</w:t>
      </w:r>
    </w:p>
    <w:p w14:paraId="6621C988" w14:textId="77777777" w:rsidR="00593BA8" w:rsidRPr="00593BA8" w:rsidRDefault="00593BA8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u w:val="single"/>
        </w:rPr>
      </w:pPr>
      <w:r w:rsidRPr="00593BA8">
        <w:rPr>
          <w:u w:val="single"/>
        </w:rPr>
        <w:t>Complété comme suit :</w:t>
      </w:r>
    </w:p>
    <w:p w14:paraId="3B8B1635" w14:textId="5D8631B5" w:rsidR="00B27D95" w:rsidRDefault="00B27D95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[DRW 2013-11-28, </w:t>
      </w:r>
      <w:r w:rsidRPr="00B27D95">
        <w:t>Décret relatif à la performance énergétique des bâtiments</w:t>
      </w:r>
      <w:r>
        <w:t>]</w:t>
      </w:r>
    </w:p>
    <w:p w14:paraId="05F6F2E2" w14:textId="1CCC8D70" w:rsidR="00356F8B" w:rsidRDefault="00356F8B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[</w:t>
      </w:r>
      <w:r w:rsidRPr="005E0694">
        <w:t>EN 62196-</w:t>
      </w:r>
      <w:r>
        <w:t>1,</w:t>
      </w:r>
      <w:r w:rsidRPr="005E0694">
        <w:t xml:space="preserve"> </w:t>
      </w:r>
      <w:r w:rsidRPr="00356F8B">
        <w:t>Fiches, socles de prise de courant, prises mobiles et socles de connecteur de véhicule et socle de connecteur de véhicule - Charge conductive des véhicules électriques - Partie 1 : règles générales</w:t>
      </w:r>
      <w:r>
        <w:t>]</w:t>
      </w:r>
    </w:p>
    <w:p w14:paraId="0911E885" w14:textId="0FC297F1" w:rsidR="00B27D95" w:rsidRDefault="005E0694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[</w:t>
      </w:r>
      <w:r w:rsidRPr="005E0694">
        <w:t>EN 62196-2</w:t>
      </w:r>
      <w:r>
        <w:t>,</w:t>
      </w:r>
      <w:r w:rsidRPr="005E0694">
        <w:t xml:space="preserve"> Fiches, socles de prise de courant, prises mobiles et socles de connecteurs de véhicule - Charge conductive des véhicules électriques - Partie 2 : exigences dimensionnelles de compatibilité et d'interchangeabilité pour les appareils à broches et alvéoles pour courant alternatif</w:t>
      </w:r>
      <w:r>
        <w:t>]</w:t>
      </w:r>
    </w:p>
    <w:p w14:paraId="374B9F24" w14:textId="26871CDA" w:rsidR="00B91EB0" w:rsidRDefault="00B91EB0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B91EB0">
        <w:t>[EN 62196-</w:t>
      </w:r>
      <w:r>
        <w:t xml:space="preserve">3, </w:t>
      </w:r>
      <w:r w:rsidRPr="00B91EB0">
        <w:t>Fiches, socles de prise de courant, prises mobiles de véhicule et socles de connecteur de véhicule - Charge conductive des véhicules électriques - Partie 3 : exigences dimensionnelles de compatibilité et d'interchangeabilité pour les connecteurs de véhicule à broches et alvéoles pour courant continu et pour courant alternatif et continu - Fiches, socles de prise de courant et connecteurs de véhicule]</w:t>
      </w:r>
    </w:p>
    <w:p w14:paraId="286A9157" w14:textId="07F0D257" w:rsidR="00BD713E" w:rsidRDefault="00BD713E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BD713E">
        <w:t>[RGIE, Règlement général sur les installations électriques (annexe à l’AR 2019-09-08)] – Chapitre 7.22</w:t>
      </w:r>
    </w:p>
    <w:p w14:paraId="3D2E5F82" w14:textId="77777777" w:rsidR="001E2986" w:rsidRDefault="00AA7C56">
      <w:pPr>
        <w:pStyle w:val="pheading"/>
      </w:pPr>
      <w:r>
        <w:t>- Exécution</w:t>
      </w:r>
    </w:p>
    <w:p w14:paraId="393D445F" w14:textId="77777777" w:rsidR="00593BA8" w:rsidRPr="00593BA8" w:rsidRDefault="00593BA8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u w:val="single"/>
        </w:rPr>
      </w:pPr>
      <w:r w:rsidRPr="00593BA8">
        <w:rPr>
          <w:u w:val="single"/>
        </w:rPr>
        <w:t>Complété comme suit :</w:t>
      </w:r>
    </w:p>
    <w:p w14:paraId="64A527E9" w14:textId="356F8433" w:rsidR="00A323ED" w:rsidRDefault="00A323ED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[DRW 2013-11-28, </w:t>
      </w:r>
      <w:r w:rsidRPr="00B27D95">
        <w:t>Décret relatif à la performance énergétique des bâtiments</w:t>
      </w:r>
      <w:r>
        <w:t>]</w:t>
      </w:r>
    </w:p>
    <w:p w14:paraId="562F7055" w14:textId="77777777" w:rsidR="00111C05" w:rsidRDefault="00264FFC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[NBN EN 61851-1, Système de charge conductive pour véhicules électriques - Partie 1: Règles générales]</w:t>
      </w:r>
      <w:r>
        <w:br/>
      </w:r>
      <w:r w:rsidR="00111C05">
        <w:t xml:space="preserve">[NBN EN 61851-21, </w:t>
      </w:r>
      <w:r w:rsidR="00111C05" w:rsidRPr="00111C05">
        <w:t>Système de charge conductive pour véhicules électriques - Partie 21 : exigences concernant le véhicule électrique pour la connexion conductive à une alimentation à courant alternatif ou continu</w:t>
      </w:r>
      <w:r w:rsidR="00111C05">
        <w:t>]</w:t>
      </w:r>
    </w:p>
    <w:p w14:paraId="122F65EE" w14:textId="244A42A2" w:rsidR="00264FFC" w:rsidRDefault="00264FFC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[NBN EN 61851-22, Système de charge conductive pour véhicules électriques - Partie 22 : Borne de charge conductive en courant alternatif pour véhicules électriques]</w:t>
      </w:r>
    </w:p>
    <w:p w14:paraId="4FEAFEBE" w14:textId="3CC20D9A" w:rsidR="00111C05" w:rsidRDefault="00111C05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[NBN EN 61851-24, </w:t>
      </w:r>
      <w:r w:rsidRPr="00111C05">
        <w:t>Système de charge conductive pour véhicules électriques - Partie 24 : communication digitale entre la borne de charge à courant continu et le véhicule électrique pour le contrôle de la charge à courant continu</w:t>
      </w:r>
      <w:r>
        <w:t>]</w:t>
      </w:r>
    </w:p>
    <w:p w14:paraId="7B90970C" w14:textId="566E6258" w:rsidR="00BD713E" w:rsidRDefault="00BD713E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BD713E">
        <w:t>[RGIE, Règlement général sur les installations électriques (annexe à l’AR 2019-09-08)] – Chapitre 7.22</w:t>
      </w:r>
    </w:p>
    <w:p w14:paraId="7CB5B95D" w14:textId="77777777" w:rsidR="001E2986" w:rsidRDefault="00AA7C56">
      <w:pPr>
        <w:pStyle w:val="pheading"/>
      </w:pPr>
      <w:r>
        <w:t>MESURAGE</w:t>
      </w:r>
    </w:p>
    <w:p w14:paraId="62952955" w14:textId="77777777" w:rsidR="001E2986" w:rsidRDefault="00AA7C56">
      <w:pPr>
        <w:pStyle w:val="pheading"/>
      </w:pPr>
      <w:r>
        <w:t>- unité de mesure:</w:t>
      </w:r>
    </w:p>
    <w:p w14:paraId="7E74B272" w14:textId="77777777" w:rsidR="00593BA8" w:rsidRPr="00593BA8" w:rsidRDefault="00593BA8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u w:val="single"/>
        </w:rPr>
      </w:pPr>
      <w:r w:rsidRPr="00593BA8">
        <w:rPr>
          <w:u w:val="single"/>
        </w:rPr>
        <w:t>Complété comme suit :</w:t>
      </w:r>
    </w:p>
    <w:p w14:paraId="775AFF2B" w14:textId="03321EB2" w:rsidR="001E2986" w:rsidRDefault="00AA7C56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593BA8">
        <w:t>pc</w:t>
      </w:r>
    </w:p>
    <w:p w14:paraId="78FC00E4" w14:textId="77777777" w:rsidR="001E2986" w:rsidRDefault="00AA7C56">
      <w:pPr>
        <w:pStyle w:val="pheading"/>
      </w:pPr>
      <w:r>
        <w:t>- code de mesurage:</w:t>
      </w:r>
    </w:p>
    <w:p w14:paraId="5DEEB99F" w14:textId="77777777" w:rsidR="00593BA8" w:rsidRPr="00593BA8" w:rsidRDefault="00593BA8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u w:val="single"/>
        </w:rPr>
      </w:pPr>
      <w:r w:rsidRPr="00593BA8">
        <w:rPr>
          <w:u w:val="single"/>
        </w:rPr>
        <w:t>Complété comme suit :</w:t>
      </w:r>
    </w:p>
    <w:p w14:paraId="32456F9F" w14:textId="64024AFD" w:rsidR="001E2986" w:rsidRDefault="00AA7C56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593BA8">
        <w:t>Quantité nette</w:t>
      </w:r>
      <w:r w:rsidR="00593BA8" w:rsidRPr="00593BA8">
        <w:t>, distinction faite suivant le type (</w:t>
      </w:r>
      <w:r w:rsidR="0094261D">
        <w:t>mode de charge</w:t>
      </w:r>
      <w:r w:rsidR="00593BA8" w:rsidRPr="00593BA8">
        <w:t>, intérieur ou extérieur).</w:t>
      </w:r>
    </w:p>
    <w:p w14:paraId="2CD805C6" w14:textId="77777777" w:rsidR="001E2986" w:rsidRDefault="00AA7C56">
      <w:pPr>
        <w:pStyle w:val="pheading"/>
      </w:pPr>
      <w:r>
        <w:t>- nature du marché:</w:t>
      </w:r>
    </w:p>
    <w:p w14:paraId="2A53EC7E" w14:textId="77777777" w:rsidR="00593BA8" w:rsidRPr="00593BA8" w:rsidRDefault="00593BA8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u w:val="single"/>
        </w:rPr>
      </w:pPr>
      <w:r w:rsidRPr="00593BA8">
        <w:rPr>
          <w:u w:val="single"/>
        </w:rPr>
        <w:t>Complété comme suit :</w:t>
      </w:r>
    </w:p>
    <w:p w14:paraId="692A544A" w14:textId="071F9866" w:rsidR="001E2986" w:rsidRDefault="00264FFC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593BA8">
        <w:t>QF</w:t>
      </w:r>
    </w:p>
    <w:p w14:paraId="17F08E6D" w14:textId="77777777" w:rsidR="001E2986" w:rsidRDefault="00AA7C56">
      <w:pPr>
        <w:pStyle w:val="pheading"/>
      </w:pPr>
      <w:r>
        <w:t>AIDE</w:t>
      </w:r>
    </w:p>
    <w:p w14:paraId="6AB5A6A0" w14:textId="77777777" w:rsidR="00593BA8" w:rsidRPr="00593BA8" w:rsidRDefault="00593BA8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u w:val="single"/>
        </w:rPr>
      </w:pPr>
      <w:r w:rsidRPr="00593BA8">
        <w:rPr>
          <w:u w:val="single"/>
        </w:rPr>
        <w:t>Complété comme suit :</w:t>
      </w:r>
    </w:p>
    <w:p w14:paraId="4C726D00" w14:textId="0DD4383B" w:rsidR="00BF78FB" w:rsidRDefault="00BF78FB" w:rsidP="00593B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Modes de charge :</w:t>
      </w:r>
    </w:p>
    <w:p w14:paraId="217DF50B" w14:textId="339E6341" w:rsidR="00BF78FB" w:rsidRDefault="00BF78FB" w:rsidP="00593BA8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Mode 1 : Mode de charge sur une prise ordinaire demandant une faible intensité de courant.  Il n’y a pas de système de communication entre le véhicule et la prise.</w:t>
      </w:r>
    </w:p>
    <w:p w14:paraId="5BCAB9A1" w14:textId="5E528F93" w:rsidR="00BF78FB" w:rsidRDefault="00BF78FB" w:rsidP="00593BA8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Mode 2 : Mode de charge sur une prise ordinaire au moyen d’un câble de recharge occasionnel.</w:t>
      </w:r>
      <w:r w:rsidR="00F022EC">
        <w:t xml:space="preserve">  Il existe un protocole de communication entre le véhicule et le boîtier de contrôle intégré dans le câble.</w:t>
      </w:r>
    </w:p>
    <w:p w14:paraId="7D8FC922" w14:textId="5CAC58EB" w:rsidR="00F022EC" w:rsidRDefault="00F022EC" w:rsidP="00593BA8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Mode 3 : Mode de charge sur une borne de chargement dédiée.  Il existe un protocole de communication entre le véhicule, le câble et la borne.</w:t>
      </w:r>
    </w:p>
    <w:p w14:paraId="6A34D27B" w14:textId="418A86F8" w:rsidR="00F022EC" w:rsidRDefault="00F022EC" w:rsidP="00593BA8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Mode 4 : Mode de charge rapide sur une borne de chargement dédiée en courant continu d’une tension plus élevée et de très forte intensité.</w:t>
      </w:r>
    </w:p>
    <w:p w14:paraId="6D8A641C" w14:textId="622646A9" w:rsidR="001E2986" w:rsidRDefault="001E2986"/>
    <w:sectPr w:rsidR="001E2986">
      <w:footerReference w:type="default" r:id="rId7"/>
      <w:pgSz w:w="11906" w:h="16838"/>
      <w:pgMar w:top="1440" w:right="1440" w:bottom="1440" w:left="1440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B87F" w14:textId="77777777" w:rsidR="00F53BA0" w:rsidRDefault="00F53BA0">
      <w:pPr>
        <w:spacing w:before="0" w:after="0" w:line="240" w:lineRule="auto"/>
      </w:pPr>
      <w:r>
        <w:separator/>
      </w:r>
    </w:p>
  </w:endnote>
  <w:endnote w:type="continuationSeparator" w:id="0">
    <w:p w14:paraId="3C29EE52" w14:textId="77777777" w:rsidR="00F53BA0" w:rsidRDefault="00F53B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930E" w14:textId="77777777" w:rsidR="001E2986" w:rsidRDefault="00AA7C56">
    <w:r>
      <w:ptab w:relativeTo="margin" w:alignment="center" w:leader="none"/>
    </w:r>
    <w:sdt>
      <w:sdtPr>
        <w:id w:val="1959685228"/>
      </w:sdtPr>
      <w:sdtEndPr/>
      <w:sdtContent>
        <w:r>
          <w:fldChar w:fldCharType="begin"/>
        </w:r>
        <w:r>
          <w:rPr>
            <w:b/>
            <w:bCs/>
            <w:sz w:val="16"/>
            <w:szCs w:val="16"/>
          </w:rPr>
          <w:instrText>PAGE</w:instrText>
        </w:r>
        <w:r>
          <w:fldChar w:fldCharType="separate"/>
        </w:r>
        <w:r w:rsidR="009D5E8E">
          <w:rPr>
            <w:b/>
            <w:bCs/>
            <w:noProof/>
            <w:sz w:val="16"/>
            <w:szCs w:val="16"/>
          </w:rPr>
          <w:t>1</w:t>
        </w:r>
        <w:r>
          <w:fldChar w:fldCharType="end"/>
        </w:r>
        <w:r>
          <w:rPr>
            <w:b/>
            <w:bCs/>
            <w:sz w:val="16"/>
            <w:szCs w:val="16"/>
          </w:rPr>
          <w:t>/</w:t>
        </w:r>
        <w:r>
          <w:fldChar w:fldCharType="begin"/>
        </w:r>
        <w:r>
          <w:rPr>
            <w:b/>
            <w:bCs/>
            <w:sz w:val="16"/>
            <w:szCs w:val="16"/>
          </w:rPr>
          <w:instrText>NUMPAGES</w:instrText>
        </w:r>
        <w:r>
          <w:fldChar w:fldCharType="separate"/>
        </w:r>
        <w:r w:rsidR="009D5E8E">
          <w:rPr>
            <w:b/>
            <w:bCs/>
            <w:noProof/>
            <w:sz w:val="16"/>
            <w:szCs w:val="16"/>
          </w:rPr>
          <w:t>1</w:t>
        </w:r>
        <w:r>
          <w:fldChar w:fldCharType="end"/>
        </w:r>
      </w:sdtContent>
    </w:sdt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FF246" w14:textId="77777777" w:rsidR="00F53BA0" w:rsidRDefault="00F53BA0">
      <w:pPr>
        <w:spacing w:before="0" w:after="0" w:line="240" w:lineRule="auto"/>
      </w:pPr>
      <w:r>
        <w:separator/>
      </w:r>
    </w:p>
  </w:footnote>
  <w:footnote w:type="continuationSeparator" w:id="0">
    <w:p w14:paraId="5EC07B13" w14:textId="77777777" w:rsidR="00F53BA0" w:rsidRDefault="00F53BA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6717"/>
    <w:multiLevelType w:val="multilevel"/>
    <w:tmpl w:val="B3E87C6A"/>
    <w:lvl w:ilvl="0">
      <w:start w:val="7"/>
      <w:numFmt w:val="decimal"/>
      <w:pStyle w:val="Author-eSectionHeading1"/>
      <w:lvlText w:val="%1"/>
      <w:lvlJc w:val="left"/>
      <w:pPr>
        <w:ind w:left="0" w:firstLine="0"/>
      </w:pPr>
      <w:rPr>
        <w:rFonts w:hint="default"/>
      </w:rPr>
    </w:lvl>
    <w:lvl w:ilvl="1">
      <w:start w:val="2"/>
      <w:numFmt w:val="decimal"/>
      <w:pStyle w:val="Author-eSectionHeading2"/>
      <w:lvlText w:val="%1%2"/>
      <w:lvlJc w:val="left"/>
      <w:pPr>
        <w:ind w:left="0" w:firstLine="0"/>
      </w:pPr>
      <w:rPr>
        <w:rFonts w:hint="default"/>
      </w:rPr>
    </w:lvl>
    <w:lvl w:ilvl="2">
      <w:start w:val="2"/>
      <w:numFmt w:val="decimal"/>
      <w:pStyle w:val="Author-eSectionHeading3"/>
      <w:lvlText w:val="%1%2.%3"/>
      <w:lvlJc w:val="left"/>
      <w:pPr>
        <w:ind w:left="0" w:firstLine="0"/>
      </w:pPr>
      <w:rPr>
        <w:rFonts w:hint="default"/>
      </w:rPr>
    </w:lvl>
    <w:lvl w:ilvl="3">
      <w:start w:val="3"/>
      <w:numFmt w:val="decimal"/>
      <w:pStyle w:val="Author-eSectionHeading4"/>
      <w:lvlText w:val="%1%2.%3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Author-eSectionHeading5"/>
      <w:lvlText w:val="%1%2.%3%4.%5"/>
      <w:lvlJc w:val="left"/>
      <w:pPr>
        <w:ind w:left="0" w:firstLine="0"/>
      </w:pPr>
      <w:rPr>
        <w:rFonts w:hint="default"/>
      </w:rPr>
    </w:lvl>
    <w:lvl w:ilvl="5">
      <w:start w:val="24"/>
      <w:numFmt w:val="lowerLetter"/>
      <w:pStyle w:val="Author-eSectionHeading6"/>
      <w:lvlText w:val="%1%2.%3%4.%5%6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59E0DCA"/>
    <w:multiLevelType w:val="hybridMultilevel"/>
    <w:tmpl w:val="6F5A4488"/>
    <w:lvl w:ilvl="0" w:tplc="7EF8700E">
      <w:start w:val="1"/>
      <w:numFmt w:val="decimal"/>
      <w:lvlText w:val="%1."/>
      <w:lvlJc w:val="left"/>
      <w:pPr>
        <w:ind w:left="720" w:hanging="360"/>
      </w:pPr>
    </w:lvl>
    <w:lvl w:ilvl="1" w:tplc="34842386">
      <w:start w:val="1"/>
      <w:numFmt w:val="decimal"/>
      <w:lvlText w:val="%2."/>
      <w:lvlJc w:val="left"/>
      <w:pPr>
        <w:ind w:left="1440" w:hanging="360"/>
      </w:pPr>
    </w:lvl>
    <w:lvl w:ilvl="2" w:tplc="57C8F6D2">
      <w:start w:val="1"/>
      <w:numFmt w:val="decimal"/>
      <w:lvlText w:val="%3."/>
      <w:lvlJc w:val="left"/>
      <w:pPr>
        <w:ind w:left="2160" w:hanging="360"/>
      </w:pPr>
    </w:lvl>
    <w:lvl w:ilvl="3" w:tplc="69CE5E06">
      <w:start w:val="1"/>
      <w:numFmt w:val="decimal"/>
      <w:lvlText w:val="%4."/>
      <w:lvlJc w:val="left"/>
      <w:pPr>
        <w:ind w:left="2880" w:hanging="360"/>
      </w:pPr>
    </w:lvl>
    <w:lvl w:ilvl="4" w:tplc="9E62A558">
      <w:start w:val="1"/>
      <w:numFmt w:val="decimal"/>
      <w:lvlText w:val="%5."/>
      <w:lvlJc w:val="left"/>
      <w:pPr>
        <w:ind w:left="3600" w:hanging="360"/>
      </w:pPr>
    </w:lvl>
    <w:lvl w:ilvl="5" w:tplc="C742ECC4">
      <w:start w:val="1"/>
      <w:numFmt w:val="decimal"/>
      <w:lvlText w:val="%6."/>
      <w:lvlJc w:val="left"/>
      <w:pPr>
        <w:ind w:left="4320" w:hanging="360"/>
      </w:pPr>
    </w:lvl>
    <w:lvl w:ilvl="6" w:tplc="CF520E4A">
      <w:start w:val="1"/>
      <w:numFmt w:val="decimal"/>
      <w:lvlText w:val="%7."/>
      <w:lvlJc w:val="left"/>
      <w:pPr>
        <w:ind w:left="5040" w:hanging="360"/>
      </w:pPr>
    </w:lvl>
    <w:lvl w:ilvl="7" w:tplc="7FFAF974">
      <w:start w:val="1"/>
      <w:numFmt w:val="decimal"/>
      <w:lvlText w:val="%8."/>
      <w:lvlJc w:val="left"/>
      <w:pPr>
        <w:ind w:left="5760" w:hanging="360"/>
      </w:pPr>
    </w:lvl>
    <w:lvl w:ilvl="8" w:tplc="644E882A">
      <w:numFmt w:val="decimal"/>
      <w:lvlText w:val=""/>
      <w:lvlJc w:val="left"/>
    </w:lvl>
  </w:abstractNum>
  <w:abstractNum w:abstractNumId="2" w15:restartNumberingAfterBreak="0">
    <w:nsid w:val="23733465"/>
    <w:multiLevelType w:val="hybridMultilevel"/>
    <w:tmpl w:val="6E10BEC4"/>
    <w:lvl w:ilvl="0" w:tplc="10946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56A3B"/>
    <w:multiLevelType w:val="hybridMultilevel"/>
    <w:tmpl w:val="6EBC968A"/>
    <w:lvl w:ilvl="0" w:tplc="C010A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B00C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39240E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5C1AA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F8B6E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998C37C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F028E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24612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6292D15A">
      <w:numFmt w:val="decimal"/>
      <w:lvlText w:val=""/>
      <w:lvlJc w:val="left"/>
    </w:lvl>
  </w:abstractNum>
  <w:abstractNum w:abstractNumId="4" w15:restartNumberingAfterBreak="0">
    <w:nsid w:val="7EBD7C94"/>
    <w:multiLevelType w:val="hybridMultilevel"/>
    <w:tmpl w:val="615EDCF8"/>
    <w:lvl w:ilvl="0" w:tplc="5C1896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86"/>
    <w:rsid w:val="00111C05"/>
    <w:rsid w:val="0018526D"/>
    <w:rsid w:val="001937B3"/>
    <w:rsid w:val="001E2986"/>
    <w:rsid w:val="00264FFC"/>
    <w:rsid w:val="002D4770"/>
    <w:rsid w:val="003205C5"/>
    <w:rsid w:val="00356F8B"/>
    <w:rsid w:val="003B016C"/>
    <w:rsid w:val="00403E5F"/>
    <w:rsid w:val="004E4BC9"/>
    <w:rsid w:val="00593BA8"/>
    <w:rsid w:val="005C63E8"/>
    <w:rsid w:val="005E0694"/>
    <w:rsid w:val="00655DDE"/>
    <w:rsid w:val="006F6E88"/>
    <w:rsid w:val="00734598"/>
    <w:rsid w:val="007F7580"/>
    <w:rsid w:val="00895942"/>
    <w:rsid w:val="008E47C6"/>
    <w:rsid w:val="0094261D"/>
    <w:rsid w:val="009D5E8E"/>
    <w:rsid w:val="00A1482C"/>
    <w:rsid w:val="00A323ED"/>
    <w:rsid w:val="00AA1E53"/>
    <w:rsid w:val="00AA7C56"/>
    <w:rsid w:val="00B10357"/>
    <w:rsid w:val="00B15988"/>
    <w:rsid w:val="00B27D95"/>
    <w:rsid w:val="00B747C8"/>
    <w:rsid w:val="00B845B7"/>
    <w:rsid w:val="00B91EB0"/>
    <w:rsid w:val="00BD713E"/>
    <w:rsid w:val="00BF78FB"/>
    <w:rsid w:val="00C37BA5"/>
    <w:rsid w:val="00C91E60"/>
    <w:rsid w:val="00CC0F65"/>
    <w:rsid w:val="00CE46F7"/>
    <w:rsid w:val="00CE61B2"/>
    <w:rsid w:val="00D0326E"/>
    <w:rsid w:val="00D40D6D"/>
    <w:rsid w:val="00D74E36"/>
    <w:rsid w:val="00DA4098"/>
    <w:rsid w:val="00E02FDB"/>
    <w:rsid w:val="00E36023"/>
    <w:rsid w:val="00EA49A6"/>
    <w:rsid w:val="00F022EC"/>
    <w:rsid w:val="00F5344A"/>
    <w:rsid w:val="00F53BA0"/>
    <w:rsid w:val="00F91D1F"/>
    <w:rsid w:val="00FB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4B41"/>
  <w15:docId w15:val="{E5D909BC-4F80-4DDD-B37D-ED5CFF98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fr-BE" w:eastAsia="fr-BE" w:bidi="ar-SA"/>
      </w:rPr>
    </w:rPrDefault>
    <w:pPrDefault>
      <w:pPr>
        <w:spacing w:before="100" w:after="100" w:line="2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normalChar"/>
    <w:qFormat/>
  </w:style>
  <w:style w:type="paragraph" w:styleId="Titre2">
    <w:name w:val="heading 2"/>
    <w:link w:val="Titre2Car"/>
    <w:uiPriority w:val="9"/>
    <w:semiHidden/>
    <w:unhideWhenUsed/>
    <w:qFormat/>
    <w:pPr>
      <w:outlineLvl w:val="1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thor-eSectionHeading1">
    <w:name w:val="Author-e Section Heading 1"/>
    <w:uiPriority w:val="40"/>
    <w:qFormat/>
    <w:pPr>
      <w:keepLines/>
      <w:numPr>
        <w:numId w:val="1"/>
      </w:numPr>
      <w:outlineLvl w:val="0"/>
    </w:pPr>
    <w:rPr>
      <w:color w:val="3366FF"/>
      <w:sz w:val="40"/>
    </w:rPr>
  </w:style>
  <w:style w:type="paragraph" w:customStyle="1" w:styleId="Author-eSectionHeading2">
    <w:name w:val="Author-e Section Heading 2"/>
    <w:uiPriority w:val="40"/>
    <w:qFormat/>
    <w:pPr>
      <w:keepLines/>
      <w:numPr>
        <w:ilvl w:val="1"/>
        <w:numId w:val="1"/>
      </w:numPr>
      <w:outlineLvl w:val="1"/>
    </w:pPr>
    <w:rPr>
      <w:color w:val="3366FF"/>
      <w:sz w:val="36"/>
    </w:rPr>
  </w:style>
  <w:style w:type="paragraph" w:customStyle="1" w:styleId="Author-eSectionHeading3">
    <w:name w:val="Author-e Section Heading 3"/>
    <w:uiPriority w:val="40"/>
    <w:qFormat/>
    <w:pPr>
      <w:keepLines/>
      <w:numPr>
        <w:ilvl w:val="2"/>
        <w:numId w:val="1"/>
      </w:numPr>
      <w:outlineLvl w:val="2"/>
    </w:pPr>
    <w:rPr>
      <w:color w:val="3366FF"/>
      <w:sz w:val="32"/>
    </w:rPr>
  </w:style>
  <w:style w:type="paragraph" w:customStyle="1" w:styleId="Author-eSectionHeading4">
    <w:name w:val="Author-e Section Heading 4"/>
    <w:uiPriority w:val="40"/>
    <w:qFormat/>
    <w:pPr>
      <w:keepLines/>
      <w:numPr>
        <w:ilvl w:val="3"/>
        <w:numId w:val="1"/>
      </w:numPr>
      <w:outlineLvl w:val="3"/>
    </w:pPr>
    <w:rPr>
      <w:color w:val="3366FF"/>
      <w:sz w:val="30"/>
    </w:rPr>
  </w:style>
  <w:style w:type="paragraph" w:customStyle="1" w:styleId="Author-eSectionHeading5">
    <w:name w:val="Author-e Section Heading 5"/>
    <w:uiPriority w:val="40"/>
    <w:qFormat/>
    <w:pPr>
      <w:keepLines/>
      <w:numPr>
        <w:ilvl w:val="4"/>
        <w:numId w:val="1"/>
      </w:numPr>
      <w:outlineLvl w:val="4"/>
    </w:pPr>
    <w:rPr>
      <w:color w:val="3366FF"/>
      <w:sz w:val="28"/>
    </w:rPr>
  </w:style>
  <w:style w:type="paragraph" w:customStyle="1" w:styleId="Author-eSectionHeading6">
    <w:name w:val="Author-e Section Heading 6"/>
    <w:uiPriority w:val="40"/>
    <w:qFormat/>
    <w:pPr>
      <w:keepLines/>
      <w:numPr>
        <w:ilvl w:val="5"/>
        <w:numId w:val="1"/>
      </w:numPr>
      <w:outlineLvl w:val="5"/>
    </w:pPr>
    <w:rPr>
      <w:color w:val="3366FF"/>
      <w:sz w:val="24"/>
    </w:rPr>
  </w:style>
  <w:style w:type="character" w:customStyle="1" w:styleId="normalChar">
    <w:name w:val="normal Char"/>
    <w:rPr>
      <w:rFonts w:ascii="Arial" w:hAnsi="Arial" w:cs="Arial"/>
      <w:sz w:val="20"/>
    </w:rPr>
  </w:style>
  <w:style w:type="paragraph" w:customStyle="1" w:styleId="nospacing">
    <w:name w:val="nospacing"/>
    <w:link w:val="nospacingChar"/>
    <w:uiPriority w:val="40"/>
    <w:qFormat/>
  </w:style>
  <w:style w:type="character" w:customStyle="1" w:styleId="nospacingChar">
    <w:name w:val="nospacing Char"/>
    <w:link w:val="nospacing"/>
    <w:rPr>
      <w:rFonts w:ascii="Arial" w:hAnsi="Arial" w:cs="Arial"/>
      <w:sz w:val="20"/>
    </w:rPr>
  </w:style>
  <w:style w:type="paragraph" w:customStyle="1" w:styleId="heading">
    <w:name w:val="heading"/>
    <w:link w:val="headingChar"/>
    <w:uiPriority w:val="40"/>
    <w:qFormat/>
    <w:rPr>
      <w:b/>
      <w:sz w:val="24"/>
    </w:rPr>
  </w:style>
  <w:style w:type="character" w:customStyle="1" w:styleId="headingChar">
    <w:name w:val="heading Char"/>
    <w:link w:val="heading"/>
    <w:rPr>
      <w:rFonts w:ascii="Arial" w:hAnsi="Arial" w:cs="Arial"/>
      <w:b/>
      <w:sz w:val="24"/>
    </w:rPr>
  </w:style>
  <w:style w:type="paragraph" w:customStyle="1" w:styleId="pheading">
    <w:name w:val="pheading"/>
    <w:link w:val="pheadingChar"/>
    <w:uiPriority w:val="40"/>
    <w:qFormat/>
    <w:rPr>
      <w:color w:val="FF0000"/>
      <w:sz w:val="24"/>
    </w:rPr>
  </w:style>
  <w:style w:type="character" w:customStyle="1" w:styleId="pheadingChar">
    <w:name w:val="pheading Char"/>
    <w:link w:val="pheading"/>
    <w:rPr>
      <w:rFonts w:ascii="Arial" w:hAnsi="Arial" w:cs="Arial"/>
      <w:color w:val="FF0000"/>
      <w:sz w:val="24"/>
    </w:rPr>
  </w:style>
  <w:style w:type="paragraph" w:customStyle="1" w:styleId="facult">
    <w:name w:val="facult"/>
    <w:link w:val="facultChar"/>
    <w:uiPriority w:val="40"/>
    <w:qFormat/>
    <w:rPr>
      <w:color w:val="3366FF"/>
    </w:rPr>
  </w:style>
  <w:style w:type="character" w:customStyle="1" w:styleId="facultChar">
    <w:name w:val="facult Char"/>
    <w:link w:val="facult"/>
    <w:rPr>
      <w:rFonts w:ascii="Arial" w:hAnsi="Arial" w:cs="Arial"/>
      <w:color w:val="3366FF"/>
      <w:sz w:val="20"/>
    </w:rPr>
  </w:style>
  <w:style w:type="paragraph" w:customStyle="1" w:styleId="optioncar">
    <w:name w:val="optioncar"/>
    <w:link w:val="optioncarChar"/>
    <w:uiPriority w:val="40"/>
    <w:qFormat/>
    <w:rPr>
      <w:color w:val="FF0000"/>
    </w:rPr>
  </w:style>
  <w:style w:type="character" w:customStyle="1" w:styleId="optioncarChar">
    <w:name w:val="optioncar Char"/>
    <w:link w:val="optioncar"/>
    <w:rPr>
      <w:rFonts w:ascii="Arial" w:hAnsi="Arial" w:cs="Arial"/>
      <w:color w:val="FF0000"/>
      <w:sz w:val="20"/>
    </w:rPr>
  </w:style>
  <w:style w:type="paragraph" w:customStyle="1" w:styleId="soit">
    <w:name w:val="soit"/>
    <w:link w:val="soitChar"/>
    <w:uiPriority w:val="40"/>
    <w:qFormat/>
    <w:rPr>
      <w:color w:val="33CCCC"/>
    </w:rPr>
  </w:style>
  <w:style w:type="character" w:customStyle="1" w:styleId="soitChar">
    <w:name w:val="soit Char"/>
    <w:link w:val="soit"/>
    <w:rPr>
      <w:rFonts w:ascii="Arial" w:hAnsi="Arial" w:cs="Arial"/>
      <w:color w:val="33CCCC"/>
      <w:sz w:val="20"/>
    </w:rPr>
  </w:style>
  <w:style w:type="character" w:customStyle="1" w:styleId="Titre2Car">
    <w:name w:val="Titre 2 Car"/>
    <w:link w:val="Titre2"/>
    <w:rPr>
      <w:rFonts w:ascii="Arial" w:hAnsi="Arial" w:cs="Arial"/>
      <w:sz w:val="22"/>
    </w:rPr>
  </w:style>
  <w:style w:type="table" w:customStyle="1" w:styleId="Author-eTableGrid">
    <w:name w:val="Author-e Table Grid"/>
    <w:uiPriority w:val="59"/>
    <w:pPr>
      <w:widowControl w:val="0"/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36" w:type="dxa"/>
        <w:left w:w="36" w:type="dxa"/>
        <w:bottom w:w="36" w:type="dxa"/>
        <w:right w:w="36" w:type="dxa"/>
      </w:tblCellMar>
    </w:tblPr>
  </w:style>
  <w:style w:type="paragraph" w:customStyle="1" w:styleId="Author-eListParagraph">
    <w:name w:val="Author-e List Paragraph"/>
    <w:uiPriority w:val="34"/>
    <w:qFormat/>
    <w:pPr>
      <w:contextualSpacing/>
    </w:pPr>
  </w:style>
  <w:style w:type="paragraph" w:styleId="En-ttedetabledesmatires">
    <w:name w:val="TOC Heading"/>
    <w:hidden/>
    <w:uiPriority w:val="39"/>
    <w:qFormat/>
    <w:rPr>
      <w:b/>
    </w:rPr>
  </w:style>
  <w:style w:type="paragraph" w:styleId="TM1">
    <w:name w:val="toc 1"/>
    <w:autoRedefine/>
    <w:hidden/>
    <w:uiPriority w:val="39"/>
    <w:pPr>
      <w:spacing w:before="0"/>
      <w:ind w:left="220"/>
    </w:pPr>
  </w:style>
  <w:style w:type="paragraph" w:styleId="TM2">
    <w:name w:val="toc 2"/>
    <w:autoRedefine/>
    <w:hidden/>
    <w:uiPriority w:val="39"/>
    <w:pPr>
      <w:spacing w:before="0"/>
      <w:ind w:left="440"/>
    </w:pPr>
  </w:style>
  <w:style w:type="paragraph" w:styleId="TM3">
    <w:name w:val="toc 3"/>
    <w:autoRedefine/>
    <w:hidden/>
    <w:uiPriority w:val="39"/>
    <w:pPr>
      <w:spacing w:before="0"/>
      <w:ind w:left="660"/>
    </w:pPr>
  </w:style>
  <w:style w:type="paragraph" w:styleId="TM4">
    <w:name w:val="toc 4"/>
    <w:autoRedefine/>
    <w:hidden/>
    <w:uiPriority w:val="39"/>
    <w:pPr>
      <w:spacing w:before="0"/>
      <w:ind w:left="880"/>
    </w:pPr>
  </w:style>
  <w:style w:type="paragraph" w:styleId="TM5">
    <w:name w:val="toc 5"/>
    <w:autoRedefine/>
    <w:hidden/>
    <w:uiPriority w:val="39"/>
    <w:pPr>
      <w:spacing w:before="0"/>
      <w:ind w:left="1100"/>
    </w:pPr>
  </w:style>
  <w:style w:type="paragraph" w:styleId="TM6">
    <w:name w:val="toc 6"/>
    <w:autoRedefine/>
    <w:hidden/>
    <w:uiPriority w:val="39"/>
    <w:pPr>
      <w:spacing w:before="0"/>
      <w:ind w:left="1320"/>
    </w:pPr>
  </w:style>
  <w:style w:type="paragraph" w:styleId="TM7">
    <w:name w:val="toc 7"/>
    <w:autoRedefine/>
    <w:hidden/>
    <w:uiPriority w:val="39"/>
    <w:pPr>
      <w:spacing w:before="0"/>
      <w:ind w:left="1540"/>
    </w:pPr>
  </w:style>
  <w:style w:type="paragraph" w:styleId="Paragraphedeliste">
    <w:name w:val="List Paragraph"/>
    <w:basedOn w:val="Normal"/>
    <w:uiPriority w:val="34"/>
    <w:qFormat/>
    <w:rsid w:val="00F02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1280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Prises de courant - recharge de véhicules électriques</vt:lpstr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Prises de courant - recharge de véhicules électriques</dc:title>
  <dc:creator>Christian Capart</dc:creator>
  <cp:lastModifiedBy>Christian Capart</cp:lastModifiedBy>
  <cp:revision>5</cp:revision>
  <dcterms:created xsi:type="dcterms:W3CDTF">2021-11-22T11:27:00Z</dcterms:created>
  <dcterms:modified xsi:type="dcterms:W3CDTF">2021-11-22T14:54:00Z</dcterms:modified>
</cp:coreProperties>
</file>